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117B" w:rsidRDefault="00E8117B" w:rsidP="00497590">
      <w:pPr>
        <w:shd w:val="clear" w:color="auto" w:fill="FFFFFF"/>
        <w:spacing w:before="75" w:after="75" w:line="312" w:lineRule="atLeast"/>
        <w:textAlignment w:val="baseline"/>
        <w:outlineLvl w:val="0"/>
        <w:rPr>
          <w:rFonts w:ascii="Arial" w:eastAsia="Times New Roman" w:hAnsi="Arial" w:cs="Arial"/>
          <w:b/>
          <w:spacing w:val="-12"/>
          <w:kern w:val="36"/>
          <w:sz w:val="24"/>
          <w:szCs w:val="24"/>
          <w:lang w:eastAsia="pt-BR"/>
        </w:rPr>
      </w:pPr>
    </w:p>
    <w:p w:rsidR="00E8117B" w:rsidRPr="00E8117B" w:rsidRDefault="00E8117B" w:rsidP="00E8117B">
      <w:pPr>
        <w:spacing w:after="0" w:line="294" w:lineRule="atLeast"/>
        <w:rPr>
          <w:rFonts w:ascii="Arial" w:eastAsia="Times New Roman" w:hAnsi="Arial" w:cs="Arial"/>
          <w:b/>
          <w:bCs/>
          <w:caps/>
          <w:color w:val="000000"/>
          <w:sz w:val="28"/>
          <w:szCs w:val="28"/>
          <w:lang w:eastAsia="pt-BR"/>
        </w:rPr>
      </w:pPr>
      <w:r w:rsidRPr="00E8117B">
        <w:rPr>
          <w:rFonts w:ascii="Arial" w:eastAsia="Times New Roman" w:hAnsi="Arial" w:cs="Arial"/>
          <w:b/>
          <w:bCs/>
          <w:caps/>
          <w:color w:val="000000"/>
          <w:sz w:val="28"/>
          <w:szCs w:val="28"/>
          <w:lang w:eastAsia="pt-BR"/>
        </w:rPr>
        <w:t>INSTRUÇÃO NORMATIVA RFB Nº 1761, DE 20 DE NOVEMBRO DE 2017</w:t>
      </w:r>
    </w:p>
    <w:p w:rsidR="00E8117B" w:rsidRDefault="00E8117B" w:rsidP="00497590">
      <w:pPr>
        <w:shd w:val="clear" w:color="auto" w:fill="FFFFFF"/>
        <w:spacing w:before="75" w:after="75" w:line="312" w:lineRule="atLeast"/>
        <w:textAlignment w:val="baseline"/>
        <w:outlineLvl w:val="0"/>
        <w:rPr>
          <w:rFonts w:ascii="Arial" w:eastAsia="Times New Roman" w:hAnsi="Arial" w:cs="Arial"/>
          <w:b/>
          <w:spacing w:val="-12"/>
          <w:kern w:val="36"/>
          <w:sz w:val="24"/>
          <w:szCs w:val="24"/>
          <w:lang w:eastAsia="pt-BR"/>
        </w:rPr>
      </w:pPr>
    </w:p>
    <w:p w:rsidR="00497590" w:rsidRPr="00932B02" w:rsidRDefault="00497590" w:rsidP="00497590">
      <w:pPr>
        <w:shd w:val="clear" w:color="auto" w:fill="FFFFFF"/>
        <w:spacing w:before="75" w:after="75" w:line="312" w:lineRule="atLeast"/>
        <w:textAlignment w:val="baseline"/>
        <w:outlineLvl w:val="0"/>
        <w:rPr>
          <w:rFonts w:ascii="Arial" w:eastAsia="Times New Roman" w:hAnsi="Arial" w:cs="Arial"/>
          <w:b/>
          <w:spacing w:val="-12"/>
          <w:kern w:val="36"/>
          <w:sz w:val="24"/>
          <w:szCs w:val="24"/>
          <w:lang w:eastAsia="pt-BR"/>
        </w:rPr>
      </w:pPr>
      <w:r w:rsidRPr="00932B02">
        <w:rPr>
          <w:rFonts w:ascii="Arial" w:eastAsia="Times New Roman" w:hAnsi="Arial" w:cs="Arial"/>
          <w:b/>
          <w:spacing w:val="-12"/>
          <w:kern w:val="36"/>
          <w:sz w:val="24"/>
          <w:szCs w:val="24"/>
          <w:lang w:eastAsia="pt-BR"/>
        </w:rPr>
        <w:t>DME - Declaração de Operações Liquidadas com Moeda em Espécie</w:t>
      </w:r>
    </w:p>
    <w:p w:rsidR="00530456" w:rsidRPr="00932B02" w:rsidRDefault="00530456">
      <w:pPr>
        <w:rPr>
          <w:rFonts w:ascii="Arial" w:hAnsi="Arial" w:cs="Arial"/>
          <w:sz w:val="24"/>
          <w:szCs w:val="24"/>
        </w:rPr>
      </w:pPr>
    </w:p>
    <w:p w:rsidR="00497590" w:rsidRPr="00932B02" w:rsidRDefault="00497590" w:rsidP="00497590">
      <w:pPr>
        <w:pBdr>
          <w:bottom w:val="single" w:sz="4" w:space="1" w:color="auto"/>
        </w:pBdr>
        <w:shd w:val="clear" w:color="auto" w:fill="FFFFFF"/>
        <w:spacing w:after="0" w:line="432" w:lineRule="atLeast"/>
        <w:jc w:val="both"/>
        <w:textAlignment w:val="baseline"/>
        <w:rPr>
          <w:rFonts w:ascii="Arial" w:eastAsia="Times New Roman" w:hAnsi="Arial" w:cs="Arial"/>
          <w:sz w:val="24"/>
          <w:szCs w:val="24"/>
          <w:lang w:eastAsia="pt-BR"/>
        </w:rPr>
      </w:pPr>
      <w:r w:rsidRPr="00932B02">
        <w:rPr>
          <w:rFonts w:ascii="Arial" w:eastAsia="Times New Roman" w:hAnsi="Arial" w:cs="Arial"/>
          <w:b/>
          <w:bCs/>
          <w:sz w:val="24"/>
          <w:szCs w:val="24"/>
          <w:lang w:eastAsia="pt-BR"/>
        </w:rPr>
        <w:t>Informações gerais</w:t>
      </w:r>
    </w:p>
    <w:p w:rsidR="00497590" w:rsidRPr="00932B02" w:rsidRDefault="00497590" w:rsidP="00497590">
      <w:pPr>
        <w:pBdr>
          <w:bottom w:val="single" w:sz="4" w:space="1" w:color="auto"/>
        </w:pBdr>
        <w:shd w:val="clear" w:color="auto" w:fill="FFFFFF"/>
        <w:spacing w:after="0" w:line="432" w:lineRule="atLeast"/>
        <w:jc w:val="both"/>
        <w:textAlignment w:val="baseline"/>
        <w:rPr>
          <w:rFonts w:ascii="Arial" w:eastAsia="Times New Roman" w:hAnsi="Arial" w:cs="Arial"/>
          <w:sz w:val="24"/>
          <w:szCs w:val="24"/>
          <w:lang w:eastAsia="pt-BR"/>
        </w:rPr>
      </w:pPr>
      <w:r w:rsidRPr="00932B02">
        <w:rPr>
          <w:rFonts w:ascii="Arial" w:eastAsia="Times New Roman" w:hAnsi="Arial" w:cs="Arial"/>
          <w:sz w:val="24"/>
          <w:szCs w:val="24"/>
          <w:lang w:eastAsia="pt-BR"/>
        </w:rPr>
        <w:t>É obrigatória a pres</w:t>
      </w:r>
      <w:bookmarkStart w:id="0" w:name="_GoBack"/>
      <w:bookmarkEnd w:id="0"/>
      <w:r w:rsidRPr="00932B02">
        <w:rPr>
          <w:rFonts w:ascii="Arial" w:eastAsia="Times New Roman" w:hAnsi="Arial" w:cs="Arial"/>
          <w:sz w:val="24"/>
          <w:szCs w:val="24"/>
          <w:lang w:eastAsia="pt-BR"/>
        </w:rPr>
        <w:t xml:space="preserve">tação de informações relativas a </w:t>
      </w:r>
      <w:r w:rsidRPr="00932B02">
        <w:rPr>
          <w:rFonts w:ascii="Arial" w:eastAsia="Times New Roman" w:hAnsi="Arial" w:cs="Arial"/>
          <w:b/>
          <w:color w:val="C00000"/>
          <w:sz w:val="24"/>
          <w:szCs w:val="24"/>
          <w:lang w:eastAsia="pt-BR"/>
        </w:rPr>
        <w:t>operações liquidadas em espécie quando em valores iguais ou superiores a R$30 mil</w:t>
      </w:r>
      <w:r w:rsidRPr="00932B02">
        <w:rPr>
          <w:rFonts w:ascii="Arial" w:eastAsia="Times New Roman" w:hAnsi="Arial" w:cs="Arial"/>
          <w:sz w:val="24"/>
          <w:szCs w:val="24"/>
          <w:lang w:eastAsia="pt-BR"/>
        </w:rPr>
        <w:t>. As operações serão reportadas em formulário eletrônico, denominado Declaração de Operações Liquidadas com Moeda em Espécie (DME). </w:t>
      </w:r>
    </w:p>
    <w:p w:rsidR="00497590" w:rsidRPr="00932B02" w:rsidRDefault="00497590" w:rsidP="00497590">
      <w:pPr>
        <w:pBdr>
          <w:bottom w:val="single" w:sz="4" w:space="1" w:color="auto"/>
        </w:pBdr>
        <w:shd w:val="clear" w:color="auto" w:fill="FFFFFF"/>
        <w:spacing w:after="240" w:line="432" w:lineRule="atLeast"/>
        <w:jc w:val="both"/>
        <w:textAlignment w:val="baseline"/>
        <w:rPr>
          <w:rFonts w:ascii="Arial" w:eastAsia="Times New Roman" w:hAnsi="Arial" w:cs="Arial"/>
          <w:color w:val="FF0000"/>
          <w:sz w:val="24"/>
          <w:szCs w:val="24"/>
          <w:lang w:eastAsia="pt-BR"/>
        </w:rPr>
      </w:pPr>
      <w:r w:rsidRPr="00932B02">
        <w:rPr>
          <w:rFonts w:ascii="Arial" w:eastAsia="Times New Roman" w:hAnsi="Arial" w:cs="Arial"/>
          <w:color w:val="FF0000"/>
          <w:sz w:val="24"/>
          <w:szCs w:val="24"/>
          <w:lang w:eastAsia="pt-BR"/>
        </w:rPr>
        <w:t>As instituições financeiras reguladas pelo Banco Central do Brasil não estão sujeitas à entrega da DME.</w:t>
      </w:r>
    </w:p>
    <w:p w:rsidR="00497590" w:rsidRPr="00932B02" w:rsidRDefault="00497590" w:rsidP="00497590">
      <w:pPr>
        <w:pBdr>
          <w:bottom w:val="single" w:sz="4" w:space="1" w:color="auto"/>
        </w:pBdr>
        <w:shd w:val="clear" w:color="auto" w:fill="FFFFFF"/>
        <w:spacing w:after="0" w:line="432" w:lineRule="atLeast"/>
        <w:jc w:val="both"/>
        <w:textAlignment w:val="baseline"/>
        <w:rPr>
          <w:rFonts w:ascii="Arial" w:eastAsia="Times New Roman" w:hAnsi="Arial" w:cs="Arial"/>
          <w:sz w:val="24"/>
          <w:szCs w:val="24"/>
          <w:lang w:eastAsia="pt-BR"/>
        </w:rPr>
      </w:pPr>
      <w:r w:rsidRPr="00932B02">
        <w:rPr>
          <w:rFonts w:ascii="Arial" w:eastAsia="Times New Roman" w:hAnsi="Arial" w:cs="Arial"/>
          <w:sz w:val="24"/>
          <w:szCs w:val="24"/>
          <w:lang w:eastAsia="pt-BR"/>
        </w:rPr>
        <w:t>A necessidade de a Administração Tributária receber essas informações decorre do fato, verificado em diversas operações especiais executadas pela RFB, de que operações liquidadas em espécie têm sido utilizadas para esconder atos de sonegação, de corrupção e de lavagem de dinheiro, em especial quando os beneficiários de recursos ilícitos os empregam na aquisição de bens ou serviços e não tencionam ser identificados pela autoridade tributária.</w:t>
      </w:r>
    </w:p>
    <w:p w:rsidR="00497590" w:rsidRPr="00932B02" w:rsidRDefault="00497590" w:rsidP="00497590">
      <w:pPr>
        <w:pBdr>
          <w:bottom w:val="single" w:sz="4" w:space="1" w:color="auto"/>
        </w:pBdr>
        <w:shd w:val="clear" w:color="auto" w:fill="FFFFFF"/>
        <w:spacing w:after="240" w:line="432" w:lineRule="atLeast"/>
        <w:jc w:val="both"/>
        <w:textAlignment w:val="baseline"/>
        <w:rPr>
          <w:rFonts w:ascii="Arial" w:eastAsia="Times New Roman" w:hAnsi="Arial" w:cs="Arial"/>
          <w:sz w:val="24"/>
          <w:szCs w:val="24"/>
          <w:lang w:eastAsia="pt-BR"/>
        </w:rPr>
      </w:pPr>
      <w:r w:rsidRPr="00932B02">
        <w:rPr>
          <w:rFonts w:ascii="Arial" w:eastAsia="Times New Roman" w:hAnsi="Arial" w:cs="Arial"/>
          <w:sz w:val="24"/>
          <w:szCs w:val="24"/>
          <w:lang w:eastAsia="pt-BR"/>
        </w:rPr>
        <w:t>O reporte à Administração Tributária de operações relevantes em espécie tem sido uma direção adotada por diversos países como medida de combate à prática de ilícitos financeiros, entre os quais a lavagem de dinheiro e o financiamento ao tráfico de armas e ao terrorismo.</w:t>
      </w:r>
    </w:p>
    <w:p w:rsidR="00497590" w:rsidRPr="00932B02" w:rsidRDefault="00497590" w:rsidP="00497590">
      <w:pPr>
        <w:pBdr>
          <w:bottom w:val="single" w:sz="4" w:space="1" w:color="auto"/>
        </w:pBdr>
        <w:shd w:val="clear" w:color="auto" w:fill="FFFFFF"/>
        <w:spacing w:after="240" w:line="432" w:lineRule="atLeast"/>
        <w:jc w:val="both"/>
        <w:textAlignment w:val="baseline"/>
        <w:rPr>
          <w:rFonts w:ascii="Arial" w:eastAsia="Times New Roman" w:hAnsi="Arial" w:cs="Arial"/>
          <w:sz w:val="24"/>
          <w:szCs w:val="24"/>
          <w:lang w:eastAsia="pt-BR"/>
        </w:rPr>
      </w:pPr>
      <w:r w:rsidRPr="00932B02">
        <w:rPr>
          <w:rFonts w:ascii="Arial" w:eastAsia="Times New Roman" w:hAnsi="Arial" w:cs="Arial"/>
          <w:sz w:val="24"/>
          <w:szCs w:val="24"/>
          <w:lang w:eastAsia="pt-BR"/>
        </w:rPr>
        <w:t>Não se busca identificar os atuais estoques de moeda física mantidos por pessoas físicas ou jurídicas, mas identificar a utilização desses recursos quando essas pessoas efetivamente liquidarem aquisições diversas. </w:t>
      </w:r>
    </w:p>
    <w:p w:rsidR="00497590" w:rsidRPr="00932B02" w:rsidRDefault="00497590" w:rsidP="00497590">
      <w:pPr>
        <w:pBdr>
          <w:bottom w:val="single" w:sz="4" w:space="1" w:color="auto"/>
        </w:pBdr>
        <w:shd w:val="clear" w:color="auto" w:fill="FFFFFF"/>
        <w:spacing w:after="0" w:line="432" w:lineRule="atLeast"/>
        <w:jc w:val="both"/>
        <w:textAlignment w:val="baseline"/>
        <w:rPr>
          <w:rFonts w:ascii="Arial" w:eastAsia="Times New Roman" w:hAnsi="Arial" w:cs="Arial"/>
          <w:sz w:val="24"/>
          <w:szCs w:val="24"/>
          <w:lang w:eastAsia="pt-BR"/>
        </w:rPr>
      </w:pPr>
      <w:r w:rsidRPr="00932B02">
        <w:rPr>
          <w:rFonts w:ascii="Arial" w:eastAsia="Times New Roman" w:hAnsi="Arial" w:cs="Arial"/>
          <w:sz w:val="24"/>
          <w:szCs w:val="24"/>
          <w:lang w:eastAsia="pt-BR"/>
        </w:rPr>
        <w:t>A não apresentação da DME ou sua apresentação fora do prazo ou com incorreções ou omissões sujeita o declarante a multa. </w:t>
      </w:r>
    </w:p>
    <w:p w:rsidR="00497590" w:rsidRPr="00932B02" w:rsidRDefault="00E8117B" w:rsidP="00497590">
      <w:pPr>
        <w:pBdr>
          <w:bottom w:val="single" w:sz="4" w:space="1" w:color="auto"/>
        </w:pBdr>
        <w:shd w:val="clear" w:color="auto" w:fill="FFFFFF"/>
        <w:spacing w:after="0" w:line="432" w:lineRule="atLeast"/>
        <w:jc w:val="both"/>
        <w:textAlignment w:val="baseline"/>
        <w:rPr>
          <w:rFonts w:ascii="Arial" w:eastAsia="Times New Roman" w:hAnsi="Arial" w:cs="Arial"/>
          <w:color w:val="000000"/>
          <w:sz w:val="24"/>
          <w:szCs w:val="24"/>
          <w:lang w:eastAsia="pt-BR"/>
        </w:rPr>
      </w:pPr>
      <w:hyperlink r:id="rId5" w:tgtFrame="_self" w:history="1">
        <w:r w:rsidR="00497590" w:rsidRPr="00932B02">
          <w:rPr>
            <w:rFonts w:ascii="Arial" w:eastAsia="Times New Roman" w:hAnsi="Arial" w:cs="Arial"/>
            <w:b/>
            <w:bCs/>
            <w:color w:val="2C67CD"/>
            <w:sz w:val="24"/>
            <w:szCs w:val="24"/>
            <w:lang w:eastAsia="pt-BR"/>
          </w:rPr>
          <w:t>Instrução Normativa RFB nº 1761, de 20 de novembro de 2017</w:t>
        </w:r>
      </w:hyperlink>
    </w:p>
    <w:p w:rsidR="00497590" w:rsidRPr="00932B02" w:rsidRDefault="00E8117B" w:rsidP="00497590">
      <w:pPr>
        <w:pBdr>
          <w:bottom w:val="single" w:sz="4" w:space="1" w:color="auto"/>
        </w:pBdr>
        <w:shd w:val="clear" w:color="auto" w:fill="FFFFFF"/>
        <w:spacing w:after="0" w:line="432" w:lineRule="atLeast"/>
        <w:jc w:val="both"/>
        <w:textAlignment w:val="baseline"/>
        <w:rPr>
          <w:rFonts w:ascii="Arial" w:eastAsia="Times New Roman" w:hAnsi="Arial" w:cs="Arial"/>
          <w:color w:val="000000"/>
          <w:sz w:val="24"/>
          <w:szCs w:val="24"/>
          <w:lang w:eastAsia="pt-BR"/>
        </w:rPr>
      </w:pPr>
      <w:hyperlink r:id="rId6" w:tgtFrame="_self" w:history="1">
        <w:r w:rsidR="00497590" w:rsidRPr="00932B02">
          <w:rPr>
            <w:rFonts w:ascii="Arial" w:eastAsia="Times New Roman" w:hAnsi="Arial" w:cs="Arial"/>
            <w:b/>
            <w:bCs/>
            <w:color w:val="2C67CD"/>
            <w:sz w:val="24"/>
            <w:szCs w:val="24"/>
            <w:lang w:eastAsia="pt-BR"/>
          </w:rPr>
          <w:t>Manual </w:t>
        </w:r>
      </w:hyperlink>
    </w:p>
    <w:p w:rsidR="00497590" w:rsidRPr="00932B02" w:rsidRDefault="00E8117B" w:rsidP="00497590">
      <w:pPr>
        <w:pBdr>
          <w:bottom w:val="single" w:sz="4" w:space="1" w:color="auto"/>
        </w:pBdr>
        <w:shd w:val="clear" w:color="auto" w:fill="FFFFFF"/>
        <w:spacing w:after="0" w:line="432" w:lineRule="atLeast"/>
        <w:jc w:val="both"/>
        <w:textAlignment w:val="baseline"/>
        <w:rPr>
          <w:rFonts w:ascii="Arial" w:eastAsia="Times New Roman" w:hAnsi="Arial" w:cs="Arial"/>
          <w:color w:val="000000"/>
          <w:sz w:val="24"/>
          <w:szCs w:val="24"/>
          <w:lang w:eastAsia="pt-BR"/>
        </w:rPr>
      </w:pPr>
      <w:hyperlink r:id="rId7" w:tgtFrame="_self" w:history="1">
        <w:r w:rsidR="00497590" w:rsidRPr="00932B02">
          <w:rPr>
            <w:rFonts w:ascii="Arial" w:eastAsia="Times New Roman" w:hAnsi="Arial" w:cs="Arial"/>
            <w:b/>
            <w:bCs/>
            <w:color w:val="2C67CD"/>
            <w:sz w:val="24"/>
            <w:szCs w:val="24"/>
            <w:lang w:eastAsia="pt-BR"/>
          </w:rPr>
          <w:t>Apresentação da DME</w:t>
        </w:r>
      </w:hyperlink>
      <w:r w:rsidR="00497590" w:rsidRPr="00932B02">
        <w:rPr>
          <w:rFonts w:ascii="Arial" w:eastAsia="Times New Roman" w:hAnsi="Arial" w:cs="Arial"/>
          <w:color w:val="000000"/>
          <w:sz w:val="24"/>
          <w:szCs w:val="24"/>
          <w:lang w:eastAsia="pt-BR"/>
        </w:rPr>
        <w:t xml:space="preserve"> (acesso via Portal </w:t>
      </w:r>
      <w:proofErr w:type="spellStart"/>
      <w:r w:rsidR="00497590" w:rsidRPr="00932B02">
        <w:rPr>
          <w:rFonts w:ascii="Arial" w:eastAsia="Times New Roman" w:hAnsi="Arial" w:cs="Arial"/>
          <w:color w:val="000000"/>
          <w:sz w:val="24"/>
          <w:szCs w:val="24"/>
          <w:lang w:eastAsia="pt-BR"/>
        </w:rPr>
        <w:t>e-CAC</w:t>
      </w:r>
      <w:proofErr w:type="spellEnd"/>
      <w:r w:rsidR="00497590" w:rsidRPr="00932B02">
        <w:rPr>
          <w:rFonts w:ascii="Arial" w:eastAsia="Times New Roman" w:hAnsi="Arial" w:cs="Arial"/>
          <w:color w:val="000000"/>
          <w:sz w:val="24"/>
          <w:szCs w:val="24"/>
          <w:lang w:eastAsia="pt-BR"/>
        </w:rPr>
        <w:t>)</w:t>
      </w:r>
    </w:p>
    <w:p w:rsidR="00497590" w:rsidRPr="00932B02" w:rsidRDefault="00497590" w:rsidP="00497590">
      <w:pPr>
        <w:pBdr>
          <w:bottom w:val="single" w:sz="4" w:space="1" w:color="auto"/>
        </w:pBdr>
        <w:shd w:val="clear" w:color="auto" w:fill="FFFFFF"/>
        <w:spacing w:after="0" w:line="432" w:lineRule="atLeast"/>
        <w:jc w:val="both"/>
        <w:textAlignment w:val="baseline"/>
        <w:rPr>
          <w:rFonts w:ascii="Arial" w:eastAsia="Times New Roman" w:hAnsi="Arial" w:cs="Arial"/>
          <w:color w:val="000000"/>
          <w:sz w:val="24"/>
          <w:szCs w:val="24"/>
          <w:lang w:eastAsia="pt-BR"/>
        </w:rPr>
      </w:pPr>
    </w:p>
    <w:p w:rsidR="00497590" w:rsidRPr="00932B02" w:rsidRDefault="00497590">
      <w:pPr>
        <w:rPr>
          <w:rFonts w:ascii="Arial" w:hAnsi="Arial" w:cs="Arial"/>
          <w:sz w:val="24"/>
          <w:szCs w:val="24"/>
        </w:rPr>
      </w:pPr>
    </w:p>
    <w:p w:rsidR="00B0013D" w:rsidRPr="00932B02" w:rsidRDefault="00B0013D" w:rsidP="00B0013D">
      <w:pPr>
        <w:pStyle w:val="NormalWeb"/>
        <w:shd w:val="clear" w:color="auto" w:fill="FFFFFF"/>
        <w:spacing w:before="360" w:beforeAutospacing="0" w:after="360" w:afterAutospacing="0" w:line="384" w:lineRule="atLeast"/>
        <w:jc w:val="both"/>
        <w:textAlignment w:val="baseline"/>
        <w:rPr>
          <w:rFonts w:ascii="Arial" w:hAnsi="Arial" w:cs="Arial"/>
        </w:rPr>
      </w:pPr>
    </w:p>
    <w:p w:rsidR="00B0013D" w:rsidRPr="00932B02" w:rsidRDefault="00B0013D" w:rsidP="00B0013D">
      <w:pPr>
        <w:pStyle w:val="NormalWeb"/>
        <w:shd w:val="clear" w:color="auto" w:fill="FFFFFF"/>
        <w:spacing w:before="360" w:beforeAutospacing="0" w:after="360" w:afterAutospacing="0" w:line="384" w:lineRule="atLeast"/>
        <w:jc w:val="both"/>
        <w:textAlignment w:val="baseline"/>
        <w:rPr>
          <w:rFonts w:ascii="Arial" w:hAnsi="Arial" w:cs="Arial"/>
        </w:rPr>
      </w:pPr>
    </w:p>
    <w:p w:rsidR="00B0013D" w:rsidRPr="00932B02" w:rsidRDefault="00B0013D" w:rsidP="00B0013D">
      <w:pPr>
        <w:pStyle w:val="NormalWeb"/>
        <w:shd w:val="clear" w:color="auto" w:fill="FFFFFF"/>
        <w:spacing w:before="360" w:beforeAutospacing="0" w:after="360" w:afterAutospacing="0" w:line="384" w:lineRule="atLeast"/>
        <w:jc w:val="both"/>
        <w:textAlignment w:val="baseline"/>
        <w:rPr>
          <w:rFonts w:ascii="Arial" w:hAnsi="Arial" w:cs="Arial"/>
        </w:rPr>
      </w:pPr>
      <w:r w:rsidRPr="00932B02">
        <w:rPr>
          <w:rFonts w:ascii="Arial" w:hAnsi="Arial" w:cs="Arial"/>
        </w:rPr>
        <w:t>São obrigadas à entrega da DME as pessoas físicas ou jurídicas residentes ou domiciliadas no Brasil que, no mês de referência, tenham recebido valores em espécie, ainda que em parte ou no todo em moeda estrangeira, decorrentes das operações realizadas com uma mesma pessoa física ou jurídica.</w:t>
      </w:r>
    </w:p>
    <w:p w:rsidR="00B0013D" w:rsidRPr="00932B02" w:rsidRDefault="00B0013D" w:rsidP="00B0013D">
      <w:pPr>
        <w:pStyle w:val="NormalWeb"/>
        <w:shd w:val="clear" w:color="auto" w:fill="FFFFFF"/>
        <w:spacing w:before="360" w:beforeAutospacing="0" w:after="360" w:afterAutospacing="0" w:line="384" w:lineRule="atLeast"/>
        <w:jc w:val="both"/>
        <w:textAlignment w:val="baseline"/>
        <w:rPr>
          <w:rFonts w:ascii="Arial" w:hAnsi="Arial" w:cs="Arial"/>
        </w:rPr>
      </w:pPr>
      <w:r w:rsidRPr="00932B02">
        <w:rPr>
          <w:rFonts w:ascii="Arial" w:hAnsi="Arial" w:cs="Arial"/>
        </w:rPr>
        <w:t>Quando a operação for liquidada em moeda estrangeira deverá ser efetuada a conversão da operação em reais para fins de declaração.</w:t>
      </w:r>
    </w:p>
    <w:p w:rsidR="00B0013D" w:rsidRPr="00932B02" w:rsidRDefault="00B0013D" w:rsidP="00B0013D">
      <w:pPr>
        <w:pStyle w:val="NormalWeb"/>
        <w:shd w:val="clear" w:color="auto" w:fill="FFFFFF"/>
        <w:spacing w:before="360" w:beforeAutospacing="0" w:after="360" w:afterAutospacing="0" w:line="384" w:lineRule="atLeast"/>
        <w:jc w:val="both"/>
        <w:textAlignment w:val="baseline"/>
        <w:rPr>
          <w:rFonts w:ascii="Arial" w:hAnsi="Arial" w:cs="Arial"/>
        </w:rPr>
      </w:pPr>
      <w:r w:rsidRPr="00932B02">
        <w:rPr>
          <w:rFonts w:ascii="Arial" w:hAnsi="Arial" w:cs="Arial"/>
        </w:rPr>
        <w:t>A título de exemplo, se um estabelecimento, hipoteticamente, receber pagamentos em espécie de 100 clientes em um mês e para 50 clientes a soma das operações realizadas, com cada um deles, não atingir o montante de R$ 30 mil no mês, não há que se falar em DME para tais clientes.</w:t>
      </w:r>
    </w:p>
    <w:p w:rsidR="00B0013D" w:rsidRPr="00932B02" w:rsidRDefault="00B0013D" w:rsidP="00B0013D">
      <w:pPr>
        <w:pStyle w:val="NormalWeb"/>
        <w:shd w:val="clear" w:color="auto" w:fill="FFFFFF"/>
        <w:spacing w:before="360" w:beforeAutospacing="0" w:after="360" w:afterAutospacing="0" w:line="384" w:lineRule="atLeast"/>
        <w:jc w:val="both"/>
        <w:textAlignment w:val="baseline"/>
        <w:rPr>
          <w:rFonts w:ascii="Arial" w:hAnsi="Arial" w:cs="Arial"/>
        </w:rPr>
      </w:pPr>
      <w:r w:rsidRPr="00932B02">
        <w:rPr>
          <w:rFonts w:ascii="Arial" w:hAnsi="Arial" w:cs="Arial"/>
        </w:rPr>
        <w:t>Se, para outros 49 clientes, as operações, realizadas com cada cliente, atingirem ou ultrapassarem o montante de R$ 30 mil no mês, porém o valor liquidado em espécie, para cada cliente, foi inferior ao referido limite, também não há que se falar em DME para tais clientes.</w:t>
      </w:r>
    </w:p>
    <w:p w:rsidR="00B0013D" w:rsidRPr="00932B02" w:rsidRDefault="00B0013D" w:rsidP="00B0013D">
      <w:pPr>
        <w:pStyle w:val="NormalWeb"/>
        <w:shd w:val="clear" w:color="auto" w:fill="FFFFFF"/>
        <w:spacing w:before="360" w:beforeAutospacing="0" w:after="360" w:afterAutospacing="0" w:line="384" w:lineRule="atLeast"/>
        <w:jc w:val="both"/>
        <w:textAlignment w:val="baseline"/>
        <w:rPr>
          <w:rFonts w:ascii="Arial" w:hAnsi="Arial" w:cs="Arial"/>
        </w:rPr>
      </w:pPr>
      <w:r w:rsidRPr="00932B02">
        <w:rPr>
          <w:rFonts w:ascii="Arial" w:hAnsi="Arial" w:cs="Arial"/>
        </w:rPr>
        <w:t>Por fim, em relação às operações realizadas com um de seus clientes, considerando-se que o valor liquidado em espécie seja igual ou superior a R$ 30 mil no mês, nesse caso, faz-se necessário o envio de uma DME para cada operação realizada com esse cliente.</w:t>
      </w:r>
    </w:p>
    <w:p w:rsidR="00B0013D" w:rsidRPr="00932B02" w:rsidRDefault="00B0013D" w:rsidP="00B0013D">
      <w:pPr>
        <w:pStyle w:val="NormalWeb"/>
        <w:shd w:val="clear" w:color="auto" w:fill="FFFFFF"/>
        <w:spacing w:before="360" w:beforeAutospacing="0" w:after="360" w:afterAutospacing="0" w:line="384" w:lineRule="atLeast"/>
        <w:jc w:val="both"/>
        <w:textAlignment w:val="baseline"/>
        <w:rPr>
          <w:rFonts w:ascii="Arial" w:hAnsi="Arial" w:cs="Arial"/>
        </w:rPr>
      </w:pPr>
      <w:r w:rsidRPr="00932B02">
        <w:rPr>
          <w:rFonts w:ascii="Arial" w:hAnsi="Arial" w:cs="Arial"/>
        </w:rPr>
        <w:t>A necessidade de a Administração Tributária receber essas informações decorre do fato, verificado em diversas operações especiais executadas pela Receita Federal, de que operações liquidadas em espécie têm sido utilizadas para esconder atos de sonegação, de corrupção e de lavagem de dinheiro, em especial quando os beneficiários de recursos ilícitos os empregam na aquisição de bens ou serviços e não tencionam ser identificados pela autoridade tributária.</w:t>
      </w:r>
    </w:p>
    <w:p w:rsidR="00B0013D" w:rsidRPr="00932B02" w:rsidRDefault="00B0013D" w:rsidP="00B0013D">
      <w:pPr>
        <w:pStyle w:val="NormalWeb"/>
        <w:shd w:val="clear" w:color="auto" w:fill="FFFFFF"/>
        <w:spacing w:before="360" w:beforeAutospacing="0" w:after="360" w:afterAutospacing="0" w:line="384" w:lineRule="atLeast"/>
        <w:jc w:val="both"/>
        <w:textAlignment w:val="baseline"/>
        <w:rPr>
          <w:rFonts w:ascii="Arial" w:hAnsi="Arial" w:cs="Arial"/>
        </w:rPr>
      </w:pPr>
      <w:r w:rsidRPr="00932B02">
        <w:rPr>
          <w:rFonts w:ascii="Arial" w:hAnsi="Arial" w:cs="Arial"/>
        </w:rPr>
        <w:t>O reporte ao Fisco de operações relevantes em espécie tem sido uma direção adotada por diversos países como medida de combate à prática de ilícitos financeiros, entre os quais a lavagem de dinheiro e o financiamento ao tráfico de armas e ao terrorismo.</w:t>
      </w:r>
    </w:p>
    <w:p w:rsidR="00B0013D" w:rsidRPr="00932B02" w:rsidRDefault="00B0013D" w:rsidP="00B0013D">
      <w:pPr>
        <w:pStyle w:val="NormalWeb"/>
        <w:shd w:val="clear" w:color="auto" w:fill="FFFFFF"/>
        <w:spacing w:before="0" w:beforeAutospacing="0" w:after="0" w:afterAutospacing="0" w:line="384" w:lineRule="atLeast"/>
        <w:jc w:val="both"/>
        <w:textAlignment w:val="baseline"/>
        <w:rPr>
          <w:rFonts w:ascii="Arial" w:hAnsi="Arial" w:cs="Arial"/>
        </w:rPr>
      </w:pPr>
      <w:r w:rsidRPr="00932B02">
        <w:rPr>
          <w:rFonts w:ascii="Arial" w:hAnsi="Arial" w:cs="Arial"/>
        </w:rPr>
        <w:t>Não se busca identificar os atuais estoques de moeda física mantidos por pessoas físicas ou jurídicas, mas identificar a utilização desses recursos quando essas pessoas efetivamente liquidarem aquisições diversas.</w:t>
      </w:r>
    </w:p>
    <w:p w:rsidR="00B0013D" w:rsidRPr="00932B02" w:rsidRDefault="00B0013D" w:rsidP="00B0013D">
      <w:pPr>
        <w:pStyle w:val="NormalWeb"/>
        <w:shd w:val="clear" w:color="auto" w:fill="FFFFFF"/>
        <w:spacing w:before="0" w:beforeAutospacing="0" w:after="0" w:afterAutospacing="0" w:line="384" w:lineRule="atLeast"/>
        <w:jc w:val="both"/>
        <w:textAlignment w:val="baseline"/>
        <w:rPr>
          <w:rFonts w:ascii="Arial" w:hAnsi="Arial" w:cs="Arial"/>
        </w:rPr>
      </w:pPr>
      <w:r w:rsidRPr="00932B02">
        <w:rPr>
          <w:rFonts w:ascii="Arial" w:hAnsi="Arial" w:cs="Arial"/>
        </w:rPr>
        <w:lastRenderedPageBreak/>
        <w:t> </w:t>
      </w:r>
      <w:r w:rsidRPr="00932B02">
        <w:rPr>
          <w:rFonts w:ascii="Arial" w:hAnsi="Arial" w:cs="Arial"/>
        </w:rPr>
        <w:br/>
        <w:t>A não apresentação da DME ou sua apresentação fora do prazo ou com incorreções ou omissões sujeita o declarante a multa.</w:t>
      </w:r>
    </w:p>
    <w:p w:rsidR="00B0013D" w:rsidRPr="00932B02" w:rsidRDefault="00B0013D" w:rsidP="00B0013D">
      <w:pPr>
        <w:pStyle w:val="NormalWeb"/>
        <w:shd w:val="clear" w:color="auto" w:fill="FFFFFF"/>
        <w:spacing w:before="0" w:beforeAutospacing="0" w:after="0" w:afterAutospacing="0" w:line="384" w:lineRule="atLeast"/>
        <w:jc w:val="both"/>
        <w:textAlignment w:val="baseline"/>
        <w:rPr>
          <w:rStyle w:val="Forte"/>
          <w:rFonts w:ascii="Arial" w:hAnsi="Arial" w:cs="Arial"/>
          <w:color w:val="777777"/>
          <w:shd w:val="clear" w:color="auto" w:fill="FFFFFF"/>
        </w:rPr>
      </w:pPr>
    </w:p>
    <w:p w:rsidR="00B0013D" w:rsidRPr="00932B02" w:rsidRDefault="00B0013D" w:rsidP="00B0013D">
      <w:pPr>
        <w:pStyle w:val="NormalWeb"/>
        <w:shd w:val="clear" w:color="auto" w:fill="FFFFFF"/>
        <w:spacing w:before="0" w:beforeAutospacing="0" w:after="0" w:afterAutospacing="0" w:line="384" w:lineRule="atLeast"/>
        <w:jc w:val="both"/>
        <w:textAlignment w:val="baseline"/>
        <w:rPr>
          <w:rFonts w:ascii="Arial" w:hAnsi="Arial" w:cs="Arial"/>
        </w:rPr>
      </w:pPr>
      <w:r w:rsidRPr="00932B02">
        <w:rPr>
          <w:rStyle w:val="Forte"/>
          <w:rFonts w:ascii="Arial" w:hAnsi="Arial" w:cs="Arial"/>
          <w:shd w:val="clear" w:color="auto" w:fill="FFFFFF"/>
        </w:rPr>
        <w:t>Através da Instrução Normativa RFB nº 1.761/2017 publicada no Diário Oficial da União de 21/11/2017, a Secretaria da Receita Federal instituiu uma nova obrigação acessória destinada à prestação de informações relativas a operações liquidadas, total ou parcialmente, em espécie, decorrentes de alienação ou cessão onerosa ou gratuita de bens e direitos, de prestação de serviços, de aluguel ou de outras operações que envolvam transferência de moeda em espécie. A Declaração de Operações Liquidadas com Moeda em Espécie (DME) será exigida tanto de pessoa física como pessoa jurídica.</w:t>
      </w:r>
    </w:p>
    <w:p w:rsidR="00B0013D" w:rsidRPr="00932B02" w:rsidRDefault="00B0013D" w:rsidP="00B0013D">
      <w:pPr>
        <w:pStyle w:val="NormalWeb"/>
        <w:shd w:val="clear" w:color="auto" w:fill="FFFFFF"/>
        <w:spacing w:before="0" w:beforeAutospacing="0"/>
        <w:jc w:val="both"/>
        <w:rPr>
          <w:rFonts w:ascii="Arial" w:hAnsi="Arial" w:cs="Arial"/>
        </w:rPr>
      </w:pPr>
      <w:r w:rsidRPr="00932B02">
        <w:rPr>
          <w:rFonts w:ascii="Arial" w:hAnsi="Arial" w:cs="Arial"/>
        </w:rPr>
        <w:t>Essas informações deverão ser prestadas a partir de 01/01/2018, mediante o envio de formulário eletrônico denominado Declaração de Operações Liquidadas com Moeda em Espécie (DME), elaborado mediante acesso ao serviço “Apresentação da DME”, disponível no Centro Virtual de Atendimento ao Contribuinte (</w:t>
      </w:r>
      <w:proofErr w:type="spellStart"/>
      <w:r w:rsidRPr="00932B02">
        <w:rPr>
          <w:rFonts w:ascii="Arial" w:hAnsi="Arial" w:cs="Arial"/>
        </w:rPr>
        <w:t>e-CAC</w:t>
      </w:r>
      <w:proofErr w:type="spellEnd"/>
      <w:r w:rsidRPr="00932B02">
        <w:rPr>
          <w:rFonts w:ascii="Arial" w:hAnsi="Arial" w:cs="Arial"/>
        </w:rPr>
        <w:t>) no site da RFB.</w:t>
      </w:r>
    </w:p>
    <w:p w:rsidR="00B0013D" w:rsidRPr="00932B02" w:rsidRDefault="00B0013D" w:rsidP="00B0013D">
      <w:pPr>
        <w:pStyle w:val="NormalWeb"/>
        <w:shd w:val="clear" w:color="auto" w:fill="F8F9F9"/>
        <w:spacing w:before="0" w:beforeAutospacing="0" w:after="0" w:afterAutospacing="0"/>
        <w:jc w:val="both"/>
        <w:rPr>
          <w:rFonts w:ascii="Arial" w:hAnsi="Arial" w:cs="Arial"/>
          <w:i/>
          <w:iCs/>
        </w:rPr>
      </w:pPr>
      <w:r w:rsidRPr="00932B02">
        <w:rPr>
          <w:rFonts w:ascii="Arial" w:hAnsi="Arial" w:cs="Arial"/>
          <w:i/>
          <w:iCs/>
        </w:rPr>
        <w:t>A necessidade de a Administração Tributária receber essas informações decorre do fato, verificado em diversas operações especiais executadas pela RFB, de que operações liquidadas em espécie têm sido utilizadas para esconder atos de sonegação, de corrupção e de lavagem de dinheiro, em especial quando os beneficiários de recursos ilícitos os empregam na aquisição de bens ou serviços e não tencionam ser identificados pela autoridade tributária. Não se busca identificar os atuais estoques de moeda física mantidos por pessoas físicas ou jurídicas, mas identificar a utilização desses recursos quando essas pessoas efetivamente liquidarem aquisições diversas.</w:t>
      </w:r>
    </w:p>
    <w:p w:rsidR="00B0013D" w:rsidRPr="00932B02" w:rsidRDefault="00B0013D" w:rsidP="00B0013D">
      <w:pPr>
        <w:pStyle w:val="NormalWeb"/>
        <w:shd w:val="clear" w:color="auto" w:fill="FFFFFF"/>
        <w:spacing w:before="0" w:beforeAutospacing="0"/>
        <w:jc w:val="both"/>
        <w:rPr>
          <w:rFonts w:ascii="Arial" w:hAnsi="Arial" w:cs="Arial"/>
        </w:rPr>
      </w:pPr>
    </w:p>
    <w:p w:rsidR="00B0013D" w:rsidRPr="00932B02" w:rsidRDefault="00B0013D" w:rsidP="00B0013D">
      <w:pPr>
        <w:pStyle w:val="NormalWeb"/>
        <w:shd w:val="clear" w:color="auto" w:fill="FFFFFF"/>
        <w:spacing w:before="0" w:beforeAutospacing="0"/>
        <w:jc w:val="both"/>
        <w:rPr>
          <w:rFonts w:ascii="Arial" w:hAnsi="Arial" w:cs="Arial"/>
        </w:rPr>
      </w:pPr>
      <w:r w:rsidRPr="00932B02">
        <w:rPr>
          <w:rFonts w:ascii="Arial" w:hAnsi="Arial" w:cs="Arial"/>
        </w:rPr>
        <w:t>A DME deverá ser assinada digitalmente pela pessoa física ou pelo representante legal da pessoa jurídica, ou pelo procurador devidamente constituído nos termos da Instrução Normativa RFB nº 1.751/2017, por meio de certificado digital válido, emitido por entidade credenciada pela Infraestrutura de Chaves Públicas Brasileira (ICP-Brasil), a fim de garantir a autoria do documento digital.</w:t>
      </w:r>
    </w:p>
    <w:p w:rsidR="00B0013D" w:rsidRPr="00932B02" w:rsidRDefault="00B0013D" w:rsidP="00B0013D">
      <w:pPr>
        <w:pStyle w:val="Ttulo2"/>
        <w:shd w:val="clear" w:color="auto" w:fill="FFFFFF"/>
        <w:spacing w:before="300"/>
        <w:rPr>
          <w:rFonts w:ascii="Arial" w:hAnsi="Arial" w:cs="Arial"/>
          <w:b/>
          <w:color w:val="auto"/>
          <w:sz w:val="24"/>
          <w:szCs w:val="24"/>
        </w:rPr>
      </w:pPr>
      <w:r w:rsidRPr="00932B02">
        <w:rPr>
          <w:rFonts w:ascii="Arial" w:hAnsi="Arial" w:cs="Arial"/>
          <w:b/>
          <w:color w:val="auto"/>
          <w:sz w:val="24"/>
          <w:szCs w:val="24"/>
        </w:rPr>
        <w:t>Perguntas e Respostas Sobre a DME</w:t>
      </w:r>
    </w:p>
    <w:p w:rsidR="00B0013D" w:rsidRPr="00932B02" w:rsidRDefault="00B0013D" w:rsidP="00B0013D">
      <w:pPr>
        <w:rPr>
          <w:rFonts w:ascii="Arial" w:hAnsi="Arial" w:cs="Arial"/>
          <w:sz w:val="24"/>
          <w:szCs w:val="24"/>
        </w:rPr>
      </w:pPr>
    </w:p>
    <w:p w:rsidR="00B0013D" w:rsidRPr="00932B02" w:rsidRDefault="00B0013D" w:rsidP="00B0013D">
      <w:pPr>
        <w:pStyle w:val="NormalWeb"/>
        <w:shd w:val="clear" w:color="auto" w:fill="FFFFFF"/>
        <w:spacing w:before="0" w:beforeAutospacing="0"/>
        <w:jc w:val="both"/>
        <w:rPr>
          <w:rFonts w:ascii="Arial" w:hAnsi="Arial" w:cs="Arial"/>
        </w:rPr>
      </w:pPr>
      <w:r w:rsidRPr="00932B02">
        <w:rPr>
          <w:rFonts w:ascii="Arial" w:hAnsi="Arial" w:cs="Arial"/>
        </w:rPr>
        <w:t xml:space="preserve">Depois de receber críticas por não ter conseguido detectar transações financeiras fraudulentas encontradas pela Operação Lava-Jato, a Receita Federal endureceu as regras para quem transaciona </w:t>
      </w:r>
      <w:proofErr w:type="spellStart"/>
      <w:r w:rsidRPr="00932B02">
        <w:rPr>
          <w:rFonts w:ascii="Arial" w:hAnsi="Arial" w:cs="Arial"/>
        </w:rPr>
        <w:t>grande</w:t>
      </w:r>
      <w:proofErr w:type="spellEnd"/>
      <w:r w:rsidRPr="00932B02">
        <w:rPr>
          <w:rFonts w:ascii="Arial" w:hAnsi="Arial" w:cs="Arial"/>
        </w:rPr>
        <w:t xml:space="preserve"> volumes em dinheiro vivo. Rastrear o caminho do dinheiro é o objetivo do fisco com a criação da DME. Com ela, foi criada fonte adicional para o cruzamento de informações que a Receita faz na declaração anual do Imposto sobre a renda.</w:t>
      </w:r>
    </w:p>
    <w:p w:rsidR="00B0013D" w:rsidRPr="00932B02" w:rsidRDefault="00B0013D" w:rsidP="00B0013D">
      <w:pPr>
        <w:pStyle w:val="NormalWeb"/>
        <w:shd w:val="clear" w:color="auto" w:fill="FFFFFF"/>
        <w:spacing w:before="0" w:beforeAutospacing="0"/>
        <w:jc w:val="both"/>
        <w:rPr>
          <w:rFonts w:ascii="Arial" w:hAnsi="Arial" w:cs="Arial"/>
        </w:rPr>
      </w:pPr>
      <w:r w:rsidRPr="00932B02">
        <w:rPr>
          <w:rFonts w:ascii="Arial" w:hAnsi="Arial" w:cs="Arial"/>
        </w:rPr>
        <w:t>Trata-se de mais uma ferramenta em cumprimento à legislação internacional, para tentar evitar a lavagem de dinheiro e facilitar a perseguição das trilhas por onde escoam o dinheiro sujo, obtido de maneiras ilegais. O alvo da obrigação fiscal são contrabandistas, corruptos e sonegadores de todo tipo. E para pegá-los, o contribuinte comum também tem de ser envolvido no cerco, como entende o fisco.</w:t>
      </w:r>
    </w:p>
    <w:p w:rsidR="00B0013D" w:rsidRPr="00932B02" w:rsidRDefault="00B0013D" w:rsidP="00B0013D">
      <w:pPr>
        <w:pStyle w:val="Ttulo3"/>
        <w:shd w:val="clear" w:color="auto" w:fill="FFFFFF"/>
        <w:spacing w:before="300"/>
        <w:jc w:val="both"/>
        <w:rPr>
          <w:rFonts w:ascii="Arial" w:hAnsi="Arial" w:cs="Arial"/>
          <w:b/>
          <w:color w:val="auto"/>
        </w:rPr>
      </w:pPr>
      <w:r w:rsidRPr="00932B02">
        <w:rPr>
          <w:rFonts w:ascii="Arial" w:hAnsi="Arial" w:cs="Arial"/>
          <w:b/>
          <w:color w:val="auto"/>
        </w:rPr>
        <w:lastRenderedPageBreak/>
        <w:t>Quem Deve Apresentar a DME?</w:t>
      </w:r>
    </w:p>
    <w:p w:rsidR="00B0013D" w:rsidRPr="00932B02" w:rsidRDefault="00B0013D" w:rsidP="00B0013D">
      <w:pPr>
        <w:pStyle w:val="NormalWeb"/>
        <w:shd w:val="clear" w:color="auto" w:fill="FFFFFF"/>
        <w:spacing w:before="0" w:beforeAutospacing="0"/>
        <w:jc w:val="both"/>
        <w:rPr>
          <w:rFonts w:ascii="Arial" w:hAnsi="Arial" w:cs="Arial"/>
        </w:rPr>
      </w:pPr>
      <w:r w:rsidRPr="00932B02">
        <w:rPr>
          <w:rFonts w:ascii="Arial" w:hAnsi="Arial" w:cs="Arial"/>
        </w:rPr>
        <w:t>São obrigadas à entrega da DME as pessoas físicas ou jurídicas residentes ou domiciliadas no Brasil que, no mês de referência, tenha recebido valores em espécie cuja soma seja igual ou superior a R$ 30.000,00 (trinta mil reais), ou o equivalente em outra moeda, decorrentes das operações realizadas com uma mesma pessoa física ou jurídica.</w:t>
      </w:r>
    </w:p>
    <w:p w:rsidR="00B0013D" w:rsidRPr="00932B02" w:rsidRDefault="00B0013D" w:rsidP="00B0013D">
      <w:pPr>
        <w:pStyle w:val="NormalWeb"/>
        <w:shd w:val="clear" w:color="auto" w:fill="FFFFFF"/>
        <w:spacing w:before="0" w:beforeAutospacing="0"/>
        <w:jc w:val="both"/>
        <w:rPr>
          <w:rFonts w:ascii="Arial" w:hAnsi="Arial" w:cs="Arial"/>
        </w:rPr>
      </w:pPr>
      <w:r w:rsidRPr="00932B02">
        <w:rPr>
          <w:rFonts w:ascii="Arial" w:hAnsi="Arial" w:cs="Arial"/>
        </w:rPr>
        <w:t>O limite será aplicado por operação se esta for realizada entre o declarante e mais de uma pessoa física ou jurídica, independentemente do valor recebido de cada pessoa. Esta obrigação não se aplica a instituições financeiras nem a instituições autorizadas a funcionar pelo Banco Central do Brasil.</w:t>
      </w:r>
    </w:p>
    <w:p w:rsidR="00B0013D" w:rsidRPr="00932B02" w:rsidRDefault="00B0013D" w:rsidP="00B0013D">
      <w:pPr>
        <w:pStyle w:val="Ttulo3"/>
        <w:shd w:val="clear" w:color="auto" w:fill="FFFFFF"/>
        <w:spacing w:before="300"/>
        <w:rPr>
          <w:rFonts w:ascii="Arial" w:hAnsi="Arial" w:cs="Arial"/>
          <w:b/>
          <w:color w:val="auto"/>
        </w:rPr>
      </w:pPr>
      <w:r w:rsidRPr="00932B02">
        <w:rPr>
          <w:rFonts w:ascii="Arial" w:hAnsi="Arial" w:cs="Arial"/>
          <w:b/>
          <w:color w:val="auto"/>
        </w:rPr>
        <w:t>Quem não Deve Apresentar a DME?</w:t>
      </w:r>
    </w:p>
    <w:p w:rsidR="00B0013D" w:rsidRPr="00932B02" w:rsidRDefault="00B0013D" w:rsidP="00B0013D">
      <w:pPr>
        <w:pStyle w:val="NormalWeb"/>
        <w:shd w:val="clear" w:color="auto" w:fill="FFFFFF"/>
        <w:spacing w:before="0" w:beforeAutospacing="0"/>
        <w:jc w:val="both"/>
        <w:rPr>
          <w:rFonts w:ascii="Arial" w:hAnsi="Arial" w:cs="Arial"/>
        </w:rPr>
      </w:pPr>
      <w:r w:rsidRPr="00932B02">
        <w:rPr>
          <w:rFonts w:ascii="Arial" w:hAnsi="Arial" w:cs="Arial"/>
        </w:rPr>
        <w:t>A obrigação relativa a DME não se aplica a operações realizadas em instituições financeiras, tampouco em outras instituições autorizadas a funcionar pelo Banco Central do Brasil.</w:t>
      </w:r>
    </w:p>
    <w:p w:rsidR="00B0013D" w:rsidRPr="00932B02" w:rsidRDefault="00B0013D" w:rsidP="00B0013D">
      <w:pPr>
        <w:pStyle w:val="Ttulo3"/>
        <w:shd w:val="clear" w:color="auto" w:fill="FFFFFF"/>
        <w:spacing w:before="300"/>
        <w:jc w:val="both"/>
        <w:rPr>
          <w:rFonts w:ascii="Arial" w:hAnsi="Arial" w:cs="Arial"/>
          <w:b/>
          <w:color w:val="auto"/>
        </w:rPr>
      </w:pPr>
      <w:r w:rsidRPr="00932B02">
        <w:rPr>
          <w:rFonts w:ascii="Arial" w:hAnsi="Arial" w:cs="Arial"/>
          <w:b/>
          <w:color w:val="auto"/>
        </w:rPr>
        <w:t>Qual o Prazo para Apresentação da DME?</w:t>
      </w:r>
    </w:p>
    <w:p w:rsidR="00B0013D" w:rsidRPr="00932B02" w:rsidRDefault="00B0013D" w:rsidP="00B0013D">
      <w:pPr>
        <w:pStyle w:val="NormalWeb"/>
        <w:shd w:val="clear" w:color="auto" w:fill="FFFFFF"/>
        <w:spacing w:before="0" w:beforeAutospacing="0"/>
        <w:jc w:val="both"/>
        <w:rPr>
          <w:rFonts w:ascii="Arial" w:hAnsi="Arial" w:cs="Arial"/>
        </w:rPr>
      </w:pPr>
      <w:r w:rsidRPr="00932B02">
        <w:rPr>
          <w:rFonts w:ascii="Arial" w:hAnsi="Arial" w:cs="Arial"/>
        </w:rPr>
        <w:t>A DME deverá ser enviada à RFB até as 23h59min59s, horário de Brasília, do último dia útil do mês subsequente ao mês de recebimento dos valores em espécie.</w:t>
      </w:r>
    </w:p>
    <w:p w:rsidR="00B0013D" w:rsidRPr="00932B02" w:rsidRDefault="00B0013D" w:rsidP="00B0013D">
      <w:pPr>
        <w:pStyle w:val="Ttulo3"/>
        <w:shd w:val="clear" w:color="auto" w:fill="FFFFFF"/>
        <w:spacing w:before="300"/>
        <w:jc w:val="both"/>
        <w:rPr>
          <w:rFonts w:ascii="Arial" w:hAnsi="Arial" w:cs="Arial"/>
          <w:b/>
          <w:color w:val="auto"/>
        </w:rPr>
      </w:pPr>
      <w:r w:rsidRPr="00932B02">
        <w:rPr>
          <w:rFonts w:ascii="Arial" w:hAnsi="Arial" w:cs="Arial"/>
          <w:b/>
          <w:color w:val="auto"/>
        </w:rPr>
        <w:t>Quais Informações Devem Consta na DME?</w:t>
      </w:r>
    </w:p>
    <w:p w:rsidR="00B0013D" w:rsidRPr="00932B02" w:rsidRDefault="00B0013D" w:rsidP="00B0013D">
      <w:pPr>
        <w:pStyle w:val="NormalWeb"/>
        <w:shd w:val="clear" w:color="auto" w:fill="FFFFFF"/>
        <w:spacing w:before="0" w:beforeAutospacing="0"/>
        <w:jc w:val="both"/>
        <w:rPr>
          <w:rFonts w:ascii="Arial" w:hAnsi="Arial" w:cs="Arial"/>
        </w:rPr>
      </w:pPr>
      <w:r w:rsidRPr="00932B02">
        <w:rPr>
          <w:rFonts w:ascii="Arial" w:hAnsi="Arial" w:cs="Arial"/>
        </w:rPr>
        <w:t>A DME abrangerá informações sobre a operação ou conjunto de operações de uma mesma pessoa física ou jurídica e conterá:</w:t>
      </w:r>
    </w:p>
    <w:p w:rsidR="00B0013D" w:rsidRPr="00932B02" w:rsidRDefault="00B0013D" w:rsidP="00B0013D">
      <w:pPr>
        <w:numPr>
          <w:ilvl w:val="0"/>
          <w:numId w:val="1"/>
        </w:numPr>
        <w:shd w:val="clear" w:color="auto" w:fill="FFFFFF"/>
        <w:spacing w:before="120" w:after="120" w:line="240" w:lineRule="auto"/>
        <w:jc w:val="both"/>
        <w:rPr>
          <w:rFonts w:ascii="Arial" w:hAnsi="Arial" w:cs="Arial"/>
          <w:sz w:val="24"/>
          <w:szCs w:val="24"/>
        </w:rPr>
      </w:pPr>
      <w:r w:rsidRPr="00932B02">
        <w:rPr>
          <w:rFonts w:ascii="Arial" w:hAnsi="Arial" w:cs="Arial"/>
          <w:sz w:val="24"/>
          <w:szCs w:val="24"/>
        </w:rPr>
        <w:t>Identificação da pessoa física ou jurídica que efetuou o pagamento, da qual devem constar o nome ou a razão social e o número de inscrição no Cadastro de Pessoas Físicas (CPF) ou no Cadastro Nacional da Pessoa Jurídica (CNPJ);</w:t>
      </w:r>
    </w:p>
    <w:p w:rsidR="00B0013D" w:rsidRPr="00932B02" w:rsidRDefault="00B0013D" w:rsidP="00B0013D">
      <w:pPr>
        <w:numPr>
          <w:ilvl w:val="0"/>
          <w:numId w:val="1"/>
        </w:numPr>
        <w:shd w:val="clear" w:color="auto" w:fill="FFFFFF"/>
        <w:spacing w:before="120" w:after="120" w:line="240" w:lineRule="auto"/>
        <w:rPr>
          <w:rFonts w:ascii="Arial" w:hAnsi="Arial" w:cs="Arial"/>
          <w:sz w:val="24"/>
          <w:szCs w:val="24"/>
        </w:rPr>
      </w:pPr>
      <w:r w:rsidRPr="00932B02">
        <w:rPr>
          <w:rFonts w:ascii="Arial" w:hAnsi="Arial" w:cs="Arial"/>
          <w:sz w:val="24"/>
          <w:szCs w:val="24"/>
        </w:rPr>
        <w:t>O código do bem ou direito objeto da alienação ou cessão ou do serviço ou operação que gerou o recebimento em espécie, constante do Anexo I ou do Anexo II, respectivamente, desta Instrução Normativa;</w:t>
      </w:r>
    </w:p>
    <w:p w:rsidR="00B0013D" w:rsidRPr="00932B02" w:rsidRDefault="00B0013D" w:rsidP="00B0013D">
      <w:pPr>
        <w:numPr>
          <w:ilvl w:val="0"/>
          <w:numId w:val="1"/>
        </w:numPr>
        <w:shd w:val="clear" w:color="auto" w:fill="FFFFFF"/>
        <w:spacing w:before="120" w:after="120" w:line="240" w:lineRule="auto"/>
        <w:rPr>
          <w:rFonts w:ascii="Arial" w:hAnsi="Arial" w:cs="Arial"/>
          <w:sz w:val="24"/>
          <w:szCs w:val="24"/>
        </w:rPr>
      </w:pPr>
      <w:r w:rsidRPr="00932B02">
        <w:rPr>
          <w:rFonts w:ascii="Arial" w:hAnsi="Arial" w:cs="Arial"/>
          <w:sz w:val="24"/>
          <w:szCs w:val="24"/>
        </w:rPr>
        <w:t>A descrição do bem ou direito objeto da alienação ou cessão ou do serviço ou operação que gerou o recebimento em espécie;</w:t>
      </w:r>
    </w:p>
    <w:p w:rsidR="00B0013D" w:rsidRPr="00932B02" w:rsidRDefault="00B0013D" w:rsidP="00B0013D">
      <w:pPr>
        <w:numPr>
          <w:ilvl w:val="0"/>
          <w:numId w:val="1"/>
        </w:numPr>
        <w:shd w:val="clear" w:color="auto" w:fill="FFFFFF"/>
        <w:spacing w:before="120" w:after="120" w:line="240" w:lineRule="auto"/>
        <w:rPr>
          <w:rFonts w:ascii="Arial" w:hAnsi="Arial" w:cs="Arial"/>
          <w:sz w:val="24"/>
          <w:szCs w:val="24"/>
        </w:rPr>
      </w:pPr>
      <w:r w:rsidRPr="00932B02">
        <w:rPr>
          <w:rFonts w:ascii="Arial" w:hAnsi="Arial" w:cs="Arial"/>
          <w:sz w:val="24"/>
          <w:szCs w:val="24"/>
        </w:rPr>
        <w:t>O valor da alienação ou cessão ou do serviço ou operação, em real;</w:t>
      </w:r>
    </w:p>
    <w:p w:rsidR="00B0013D" w:rsidRPr="00932B02" w:rsidRDefault="00B0013D" w:rsidP="00B0013D">
      <w:pPr>
        <w:numPr>
          <w:ilvl w:val="0"/>
          <w:numId w:val="1"/>
        </w:numPr>
        <w:shd w:val="clear" w:color="auto" w:fill="FFFFFF"/>
        <w:spacing w:before="120" w:after="120" w:line="240" w:lineRule="auto"/>
        <w:rPr>
          <w:rFonts w:ascii="Arial" w:hAnsi="Arial" w:cs="Arial"/>
          <w:sz w:val="24"/>
          <w:szCs w:val="24"/>
        </w:rPr>
      </w:pPr>
      <w:r w:rsidRPr="00932B02">
        <w:rPr>
          <w:rFonts w:ascii="Arial" w:hAnsi="Arial" w:cs="Arial"/>
          <w:sz w:val="24"/>
          <w:szCs w:val="24"/>
        </w:rPr>
        <w:t>O valor liquidado em espécie, em real;</w:t>
      </w:r>
    </w:p>
    <w:p w:rsidR="00B0013D" w:rsidRPr="00932B02" w:rsidRDefault="00B0013D" w:rsidP="00B0013D">
      <w:pPr>
        <w:numPr>
          <w:ilvl w:val="0"/>
          <w:numId w:val="1"/>
        </w:numPr>
        <w:shd w:val="clear" w:color="auto" w:fill="FFFFFF"/>
        <w:spacing w:before="120" w:after="120" w:line="240" w:lineRule="auto"/>
        <w:rPr>
          <w:rFonts w:ascii="Arial" w:hAnsi="Arial" w:cs="Arial"/>
          <w:sz w:val="24"/>
          <w:szCs w:val="24"/>
        </w:rPr>
      </w:pPr>
      <w:r w:rsidRPr="00932B02">
        <w:rPr>
          <w:rFonts w:ascii="Arial" w:hAnsi="Arial" w:cs="Arial"/>
          <w:sz w:val="24"/>
          <w:szCs w:val="24"/>
        </w:rPr>
        <w:t>A moeda utilizada na operação; e</w:t>
      </w:r>
    </w:p>
    <w:p w:rsidR="00B0013D" w:rsidRPr="00932B02" w:rsidRDefault="00B0013D" w:rsidP="00B0013D">
      <w:pPr>
        <w:numPr>
          <w:ilvl w:val="0"/>
          <w:numId w:val="1"/>
        </w:numPr>
        <w:shd w:val="clear" w:color="auto" w:fill="FFFFFF"/>
        <w:spacing w:before="120" w:after="120" w:line="240" w:lineRule="auto"/>
        <w:rPr>
          <w:rFonts w:ascii="Arial" w:hAnsi="Arial" w:cs="Arial"/>
          <w:sz w:val="24"/>
          <w:szCs w:val="24"/>
        </w:rPr>
      </w:pPr>
      <w:r w:rsidRPr="00932B02">
        <w:rPr>
          <w:rFonts w:ascii="Arial" w:hAnsi="Arial" w:cs="Arial"/>
          <w:sz w:val="24"/>
          <w:szCs w:val="24"/>
        </w:rPr>
        <w:t>A data da operação.</w:t>
      </w:r>
    </w:p>
    <w:p w:rsidR="00B0013D" w:rsidRPr="00932B02" w:rsidRDefault="00B0013D" w:rsidP="00B0013D">
      <w:pPr>
        <w:pStyle w:val="NormalWeb"/>
        <w:shd w:val="clear" w:color="auto" w:fill="FFFFFF"/>
        <w:spacing w:before="0" w:beforeAutospacing="0" w:after="0"/>
        <w:jc w:val="center"/>
        <w:rPr>
          <w:rFonts w:ascii="Arial" w:hAnsi="Arial" w:cs="Arial"/>
        </w:rPr>
      </w:pPr>
    </w:p>
    <w:p w:rsidR="00B0013D" w:rsidRPr="00932B02" w:rsidRDefault="00B0013D" w:rsidP="00B0013D">
      <w:pPr>
        <w:pStyle w:val="Ttulo3"/>
        <w:shd w:val="clear" w:color="auto" w:fill="FFFFFF"/>
        <w:spacing w:before="300"/>
        <w:rPr>
          <w:rFonts w:ascii="Arial" w:hAnsi="Arial" w:cs="Arial"/>
          <w:b/>
          <w:color w:val="auto"/>
        </w:rPr>
      </w:pPr>
      <w:r w:rsidRPr="00932B02">
        <w:rPr>
          <w:rFonts w:ascii="Arial" w:hAnsi="Arial" w:cs="Arial"/>
          <w:b/>
          <w:color w:val="auto"/>
        </w:rPr>
        <w:t>Quais as Regras para Moeda Estrangeira?</w:t>
      </w:r>
    </w:p>
    <w:p w:rsidR="00B0013D" w:rsidRPr="00932B02" w:rsidRDefault="00B0013D" w:rsidP="00B0013D">
      <w:pPr>
        <w:pStyle w:val="NormalWeb"/>
        <w:shd w:val="clear" w:color="auto" w:fill="FFFFFF"/>
        <w:spacing w:before="0" w:beforeAutospacing="0"/>
        <w:jc w:val="both"/>
        <w:rPr>
          <w:rFonts w:ascii="Arial" w:hAnsi="Arial" w:cs="Arial"/>
        </w:rPr>
      </w:pPr>
      <w:r w:rsidRPr="00932B02">
        <w:rPr>
          <w:rFonts w:ascii="Arial" w:hAnsi="Arial" w:cs="Arial"/>
        </w:rPr>
        <w:t>Se a operação que gerou o recebimento em espécie for realizada entre o declarante e pessoa física ou jurídica domiciliada no exterior, não inscrita no CPF ou CNPJ, respectivamente, deverão ser informados o Número de Identificação Fiscal (NIF) da pessoa no exterior e o país de residência ou domicílio fiscal.</w:t>
      </w:r>
    </w:p>
    <w:p w:rsidR="00B0013D" w:rsidRPr="00932B02" w:rsidRDefault="00B0013D" w:rsidP="00B0013D">
      <w:pPr>
        <w:pStyle w:val="NormalWeb"/>
        <w:shd w:val="clear" w:color="auto" w:fill="FFFFFF"/>
        <w:spacing w:before="0" w:beforeAutospacing="0"/>
        <w:jc w:val="both"/>
        <w:rPr>
          <w:rFonts w:ascii="Arial" w:hAnsi="Arial" w:cs="Arial"/>
        </w:rPr>
      </w:pPr>
      <w:r w:rsidRPr="00932B02">
        <w:rPr>
          <w:rFonts w:ascii="Arial" w:hAnsi="Arial" w:cs="Arial"/>
        </w:rPr>
        <w:t>Nas operações em que for utilizada moeda estrangeira, o valor em real será apurado com base na cotação de compra para a moeda, divulgada pelo Banco Central do Brasil, correspondente ao dia útil imediatamente anterior ao do recebimento.</w:t>
      </w:r>
    </w:p>
    <w:p w:rsidR="00B0013D" w:rsidRPr="00932B02" w:rsidRDefault="00B0013D" w:rsidP="00B0013D">
      <w:pPr>
        <w:pStyle w:val="NormalWeb"/>
        <w:shd w:val="clear" w:color="auto" w:fill="FFFFFF"/>
        <w:spacing w:before="0" w:beforeAutospacing="0"/>
        <w:rPr>
          <w:rFonts w:ascii="Arial" w:hAnsi="Arial" w:cs="Arial"/>
        </w:rPr>
      </w:pPr>
      <w:r w:rsidRPr="00932B02">
        <w:rPr>
          <w:rFonts w:ascii="Arial" w:hAnsi="Arial" w:cs="Arial"/>
        </w:rPr>
        <w:lastRenderedPageBreak/>
        <w:t>Nas operações em que for utilizada moeda estrangeira sem cotação divulgada pelo Banco Central do Brasil o valor deve ser convertido em dólar dos Estados Unidos da América com base no valor fixado pela autoridade monetária do país de origem da moeda, correspondente ao dia útil imediatamente anterior ao do recebimento, e em seguida em real.</w:t>
      </w:r>
    </w:p>
    <w:p w:rsidR="00B0013D" w:rsidRPr="00932B02" w:rsidRDefault="00B0013D" w:rsidP="00B0013D">
      <w:pPr>
        <w:pStyle w:val="Ttulo3"/>
        <w:shd w:val="clear" w:color="auto" w:fill="FFFFFF"/>
        <w:spacing w:before="300"/>
        <w:rPr>
          <w:rFonts w:ascii="Arial" w:hAnsi="Arial" w:cs="Arial"/>
          <w:color w:val="auto"/>
        </w:rPr>
      </w:pPr>
      <w:r w:rsidRPr="00932B02">
        <w:rPr>
          <w:rFonts w:ascii="Arial" w:hAnsi="Arial" w:cs="Arial"/>
          <w:color w:val="auto"/>
        </w:rPr>
        <w:t>Posso Retificar a DME?</w:t>
      </w:r>
    </w:p>
    <w:p w:rsidR="00B0013D" w:rsidRPr="00932B02" w:rsidRDefault="00B0013D" w:rsidP="00B0013D">
      <w:pPr>
        <w:pStyle w:val="NormalWeb"/>
        <w:shd w:val="clear" w:color="auto" w:fill="FFFFFF"/>
        <w:spacing w:before="0" w:beforeAutospacing="0"/>
        <w:jc w:val="both"/>
        <w:rPr>
          <w:rFonts w:ascii="Arial" w:hAnsi="Arial" w:cs="Arial"/>
        </w:rPr>
      </w:pPr>
      <w:r w:rsidRPr="00932B02">
        <w:rPr>
          <w:rFonts w:ascii="Arial" w:hAnsi="Arial" w:cs="Arial"/>
        </w:rPr>
        <w:t>Erros, inexatidões ou omissões constatados depois da entrega da DME podem ser corrigidos ou supridas, conforme o caso, mediante apresentação de DME retificadora. A DME retificadora deve conter as informações prestadas na DME retificada e as inclusões, exclusões ou alterações necessárias, e terá a mesma natureza desta.</w:t>
      </w:r>
    </w:p>
    <w:p w:rsidR="00B0013D" w:rsidRPr="00932B02" w:rsidRDefault="00B0013D" w:rsidP="00B0013D">
      <w:pPr>
        <w:pStyle w:val="Ttulo3"/>
        <w:shd w:val="clear" w:color="auto" w:fill="FFFFFF"/>
        <w:spacing w:before="300"/>
        <w:rPr>
          <w:rFonts w:ascii="Arial" w:hAnsi="Arial" w:cs="Arial"/>
          <w:color w:val="auto"/>
        </w:rPr>
      </w:pPr>
      <w:r w:rsidRPr="00932B02">
        <w:rPr>
          <w:rFonts w:ascii="Arial" w:hAnsi="Arial" w:cs="Arial"/>
          <w:color w:val="auto"/>
        </w:rPr>
        <w:t>Serei Punido se não Entregar a DME?</w:t>
      </w:r>
    </w:p>
    <w:p w:rsidR="00B0013D" w:rsidRPr="00932B02" w:rsidRDefault="00B0013D" w:rsidP="00B0013D">
      <w:pPr>
        <w:pStyle w:val="NormalWeb"/>
        <w:shd w:val="clear" w:color="auto" w:fill="FFFFFF"/>
        <w:spacing w:before="0" w:beforeAutospacing="0"/>
        <w:jc w:val="both"/>
        <w:rPr>
          <w:rFonts w:ascii="Arial" w:hAnsi="Arial" w:cs="Arial"/>
        </w:rPr>
      </w:pPr>
      <w:r w:rsidRPr="00932B02">
        <w:rPr>
          <w:rFonts w:ascii="Arial" w:hAnsi="Arial" w:cs="Arial"/>
        </w:rPr>
        <w:t>A não apresentação da DME ou sua apresentação fora do prazo fixado ou com incorreções ou omissões sujeita o declarante às seguintes multas:</w:t>
      </w:r>
    </w:p>
    <w:p w:rsidR="00B0013D" w:rsidRPr="00932B02" w:rsidRDefault="00B0013D" w:rsidP="00B0013D">
      <w:pPr>
        <w:pStyle w:val="NormalWeb"/>
        <w:shd w:val="clear" w:color="auto" w:fill="FFFFFF"/>
        <w:spacing w:before="0" w:beforeAutospacing="0"/>
        <w:rPr>
          <w:rFonts w:ascii="Arial" w:hAnsi="Arial" w:cs="Arial"/>
        </w:rPr>
      </w:pPr>
      <w:r w:rsidRPr="00932B02">
        <w:rPr>
          <w:rStyle w:val="Forte"/>
          <w:rFonts w:ascii="Arial" w:hAnsi="Arial" w:cs="Arial"/>
        </w:rPr>
        <w:t>I – pela apresentação extemporânea:</w:t>
      </w:r>
    </w:p>
    <w:p w:rsidR="00B0013D" w:rsidRPr="00932B02" w:rsidRDefault="00B0013D" w:rsidP="00B0013D">
      <w:pPr>
        <w:pStyle w:val="NormalWeb"/>
        <w:shd w:val="clear" w:color="auto" w:fill="FFFFFF"/>
        <w:spacing w:before="0" w:beforeAutospacing="0"/>
        <w:jc w:val="both"/>
        <w:rPr>
          <w:rFonts w:ascii="Arial" w:hAnsi="Arial" w:cs="Arial"/>
        </w:rPr>
      </w:pPr>
      <w:r w:rsidRPr="00932B02">
        <w:rPr>
          <w:rFonts w:ascii="Arial" w:hAnsi="Arial" w:cs="Arial"/>
        </w:rPr>
        <w:t>a) R$ 500,00 (quinhentos reais) por mês ou fração se o declarante for pessoa jurídica em início de atividade, imune ou isenta, optante pelo Regime Especial Unificado de Arrecadação de Tributos e Contribuições devidos pelas Microempresas e Empresas de Pequeno Porte (Simples Nacional) instituído pela Lei Complementar nº 123, de 14 de dezembro de 2006, ou que na última declaração apresentada tenha apurado o Imposto sobre a Renda com base no lucro presumido;</w:t>
      </w:r>
      <w:r w:rsidRPr="00932B02">
        <w:rPr>
          <w:rFonts w:ascii="Arial" w:hAnsi="Arial" w:cs="Arial"/>
        </w:rPr>
        <w:br/>
        <w:t>b) R$ 1.500,00 (mil e quinhentos reais) por mês ou fração se o declarante for pessoa jurídica não incluída na alínea “a”; e</w:t>
      </w:r>
      <w:r w:rsidRPr="00932B02">
        <w:rPr>
          <w:rFonts w:ascii="Arial" w:hAnsi="Arial" w:cs="Arial"/>
        </w:rPr>
        <w:br/>
        <w:t>c) R$ 100,00 (cem reais) por mês ou fração se pessoa física; e</w:t>
      </w:r>
    </w:p>
    <w:p w:rsidR="00B0013D" w:rsidRPr="00932B02" w:rsidRDefault="00B0013D" w:rsidP="00B0013D">
      <w:pPr>
        <w:pStyle w:val="NormalWeb"/>
        <w:shd w:val="clear" w:color="auto" w:fill="FFFFFF"/>
        <w:spacing w:before="0" w:beforeAutospacing="0"/>
        <w:jc w:val="both"/>
        <w:rPr>
          <w:rFonts w:ascii="Arial" w:hAnsi="Arial" w:cs="Arial"/>
        </w:rPr>
      </w:pPr>
      <w:r w:rsidRPr="00932B02">
        <w:rPr>
          <w:rFonts w:ascii="Arial" w:hAnsi="Arial" w:cs="Arial"/>
        </w:rPr>
        <w:t>Obs.: A multa prevista na alínea “b” será aplicada também, em caso de apresentação da DME fora do prazo, à pessoa jurídica que na última declaração tenha utilizado mais de uma forma de apuração do lucro ou tenha realizado evento de reorganização societária.</w:t>
      </w:r>
    </w:p>
    <w:p w:rsidR="00B0013D" w:rsidRPr="00932B02" w:rsidRDefault="00B0013D" w:rsidP="00B0013D">
      <w:pPr>
        <w:pStyle w:val="NormalWeb"/>
        <w:shd w:val="clear" w:color="auto" w:fill="FFFFFF"/>
        <w:spacing w:before="0" w:beforeAutospacing="0"/>
        <w:jc w:val="both"/>
        <w:rPr>
          <w:rFonts w:ascii="Arial" w:hAnsi="Arial" w:cs="Arial"/>
        </w:rPr>
      </w:pPr>
      <w:r w:rsidRPr="00932B02">
        <w:rPr>
          <w:rStyle w:val="Forte"/>
          <w:rFonts w:ascii="Arial" w:hAnsi="Arial" w:cs="Arial"/>
        </w:rPr>
        <w:t>II – pela não apresentação ou apresentação com informações inexatas ou incompletas ou com omissão de informações:</w:t>
      </w:r>
    </w:p>
    <w:p w:rsidR="00B0013D" w:rsidRPr="00932B02" w:rsidRDefault="00B0013D" w:rsidP="00B0013D">
      <w:pPr>
        <w:pStyle w:val="NormalWeb"/>
        <w:numPr>
          <w:ilvl w:val="0"/>
          <w:numId w:val="2"/>
        </w:numPr>
        <w:shd w:val="clear" w:color="auto" w:fill="FFFFFF"/>
        <w:spacing w:before="0" w:beforeAutospacing="0"/>
        <w:jc w:val="both"/>
        <w:rPr>
          <w:rFonts w:ascii="Arial" w:hAnsi="Arial" w:cs="Arial"/>
        </w:rPr>
      </w:pPr>
      <w:r w:rsidRPr="00932B02">
        <w:rPr>
          <w:rFonts w:ascii="Arial" w:hAnsi="Arial" w:cs="Arial"/>
        </w:rPr>
        <w:t>3% (três por cento) do valor da operação a que se refere a informação omitida, inexata ou incompleta, não inferior a R$ 100,00 (cem reais), se o declarante for pessoa jurídica; ou</w:t>
      </w:r>
    </w:p>
    <w:p w:rsidR="00B0013D" w:rsidRPr="00932B02" w:rsidRDefault="00B0013D" w:rsidP="00B0013D">
      <w:pPr>
        <w:pStyle w:val="NormalWeb"/>
        <w:numPr>
          <w:ilvl w:val="0"/>
          <w:numId w:val="2"/>
        </w:numPr>
        <w:shd w:val="clear" w:color="auto" w:fill="FFFFFF"/>
        <w:spacing w:before="0" w:beforeAutospacing="0"/>
        <w:jc w:val="both"/>
        <w:rPr>
          <w:rFonts w:ascii="Arial" w:hAnsi="Arial" w:cs="Arial"/>
        </w:rPr>
      </w:pPr>
      <w:r w:rsidRPr="00932B02">
        <w:rPr>
          <w:rFonts w:ascii="Arial" w:hAnsi="Arial" w:cs="Arial"/>
        </w:rPr>
        <w:br/>
        <w:t>b) 1,5% (um inteiro e cinco décimos por cento) do valor da operação a que se refere a informação omitida, inexata ou incompleta, se o declarante for pessoa física.</w:t>
      </w:r>
    </w:p>
    <w:p w:rsidR="00B0013D" w:rsidRPr="00932B02" w:rsidRDefault="00B0013D" w:rsidP="00B0013D">
      <w:pPr>
        <w:pStyle w:val="NormalWeb"/>
        <w:shd w:val="clear" w:color="auto" w:fill="FFFFFF"/>
        <w:spacing w:before="0" w:beforeAutospacing="0"/>
        <w:jc w:val="both"/>
        <w:rPr>
          <w:rFonts w:ascii="Arial" w:hAnsi="Arial" w:cs="Arial"/>
        </w:rPr>
      </w:pPr>
      <w:r w:rsidRPr="00932B02">
        <w:rPr>
          <w:rFonts w:ascii="Arial" w:hAnsi="Arial" w:cs="Arial"/>
        </w:rPr>
        <w:t>Obs.: A multa prevista na alínea “a” será reduzida em 70% (setenta por cento) se o declarante for pessoa jurídica optante pelo Simples Nacional.</w:t>
      </w:r>
    </w:p>
    <w:p w:rsidR="00B0013D" w:rsidRPr="00932B02" w:rsidRDefault="00B0013D" w:rsidP="00B0013D">
      <w:pPr>
        <w:pStyle w:val="Ttulo2"/>
        <w:spacing w:before="300"/>
        <w:rPr>
          <w:rFonts w:ascii="Arial" w:hAnsi="Arial" w:cs="Arial"/>
          <w:b/>
          <w:color w:val="auto"/>
          <w:sz w:val="24"/>
          <w:szCs w:val="24"/>
        </w:rPr>
      </w:pPr>
      <w:r w:rsidRPr="00932B02">
        <w:rPr>
          <w:rFonts w:ascii="Arial" w:hAnsi="Arial" w:cs="Arial"/>
          <w:b/>
          <w:color w:val="auto"/>
          <w:sz w:val="24"/>
          <w:szCs w:val="24"/>
        </w:rPr>
        <w:t>Passo-a-Passo da DME</w:t>
      </w:r>
    </w:p>
    <w:p w:rsidR="004603F0" w:rsidRPr="00932B02" w:rsidRDefault="004603F0" w:rsidP="004603F0">
      <w:pPr>
        <w:rPr>
          <w:rFonts w:ascii="Arial" w:hAnsi="Arial" w:cs="Arial"/>
          <w:sz w:val="24"/>
          <w:szCs w:val="24"/>
        </w:rPr>
      </w:pPr>
    </w:p>
    <w:p w:rsidR="00B0013D" w:rsidRPr="00932B02" w:rsidRDefault="00B0013D" w:rsidP="00B0013D">
      <w:pPr>
        <w:pStyle w:val="NormalWeb"/>
        <w:spacing w:before="0" w:beforeAutospacing="0"/>
        <w:rPr>
          <w:rFonts w:ascii="Arial" w:hAnsi="Arial" w:cs="Arial"/>
        </w:rPr>
      </w:pPr>
      <w:r w:rsidRPr="00932B02">
        <w:rPr>
          <w:rFonts w:ascii="Arial" w:hAnsi="Arial" w:cs="Arial"/>
        </w:rPr>
        <w:t>Para fazer a DME, você deverá acessar o </w:t>
      </w:r>
      <w:hyperlink r:id="rId8" w:tgtFrame="_blank" w:history="1">
        <w:r w:rsidRPr="00932B02">
          <w:rPr>
            <w:rStyle w:val="Hyperlink"/>
            <w:rFonts w:ascii="Arial" w:hAnsi="Arial" w:cs="Arial"/>
            <w:color w:val="auto"/>
          </w:rPr>
          <w:t xml:space="preserve">portal </w:t>
        </w:r>
        <w:proofErr w:type="spellStart"/>
        <w:r w:rsidRPr="00932B02">
          <w:rPr>
            <w:rStyle w:val="Hyperlink"/>
            <w:rFonts w:ascii="Arial" w:hAnsi="Arial" w:cs="Arial"/>
            <w:color w:val="auto"/>
          </w:rPr>
          <w:t>e-CAC</w:t>
        </w:r>
        <w:proofErr w:type="spellEnd"/>
      </w:hyperlink>
      <w:r w:rsidRPr="00932B02">
        <w:rPr>
          <w:rFonts w:ascii="Arial" w:hAnsi="Arial" w:cs="Arial"/>
        </w:rPr>
        <w:t> da Receita Federal. Se você não sabe como acessar este portal então veja </w:t>
      </w:r>
      <w:hyperlink r:id="rId9" w:tgtFrame="_blank" w:history="1">
        <w:r w:rsidRPr="00932B02">
          <w:rPr>
            <w:rStyle w:val="Hyperlink"/>
            <w:rFonts w:ascii="Arial" w:hAnsi="Arial" w:cs="Arial"/>
            <w:color w:val="auto"/>
          </w:rPr>
          <w:t>este tutorial</w:t>
        </w:r>
      </w:hyperlink>
      <w:r w:rsidRPr="00932B02">
        <w:rPr>
          <w:rFonts w:ascii="Arial" w:hAnsi="Arial" w:cs="Arial"/>
        </w:rPr>
        <w:t>. Um vez no portal, clique na opção “Declarações e Demonstrativos” e em seguida clique na opção “Apresentar a DME” como mostra a figura abaixo:</w:t>
      </w:r>
    </w:p>
    <w:p w:rsidR="00B0013D" w:rsidRPr="00932B02" w:rsidRDefault="00B0013D" w:rsidP="00B0013D">
      <w:pPr>
        <w:pStyle w:val="NormalWeb"/>
        <w:spacing w:before="0" w:beforeAutospacing="0"/>
        <w:rPr>
          <w:rFonts w:ascii="Arial" w:hAnsi="Arial" w:cs="Arial"/>
        </w:rPr>
      </w:pPr>
      <w:r w:rsidRPr="00932B02">
        <w:rPr>
          <w:rFonts w:ascii="Arial" w:hAnsi="Arial" w:cs="Arial"/>
          <w:noProof/>
        </w:rPr>
        <w:lastRenderedPageBreak/>
        <w:drawing>
          <wp:inline distT="0" distB="0" distL="0" distR="0" wp14:anchorId="13FDCDA4" wp14:editId="0AC6C9B9">
            <wp:extent cx="9964420" cy="5439410"/>
            <wp:effectExtent l="0" t="0" r="0" b="8890"/>
            <wp:docPr id="5" name="Imagem 5" descr="dme ecac">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e ecac">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64420" cy="5439410"/>
                    </a:xfrm>
                    <a:prstGeom prst="rect">
                      <a:avLst/>
                    </a:prstGeom>
                    <a:noFill/>
                    <a:ln>
                      <a:noFill/>
                    </a:ln>
                  </pic:spPr>
                </pic:pic>
              </a:graphicData>
            </a:graphic>
          </wp:inline>
        </w:drawing>
      </w:r>
    </w:p>
    <w:p w:rsidR="004603F0" w:rsidRPr="00932B02" w:rsidRDefault="00B0013D" w:rsidP="004603F0">
      <w:pPr>
        <w:pStyle w:val="NormalWeb"/>
        <w:spacing w:before="0" w:beforeAutospacing="0"/>
        <w:jc w:val="both"/>
        <w:rPr>
          <w:rFonts w:ascii="Arial" w:hAnsi="Arial" w:cs="Arial"/>
        </w:rPr>
      </w:pPr>
      <w:r w:rsidRPr="00932B02">
        <w:rPr>
          <w:rFonts w:ascii="Arial" w:hAnsi="Arial" w:cs="Arial"/>
        </w:rPr>
        <w:t xml:space="preserve">O acesso à DME deverá ser feito por certificado digital e-CPF ou e-CNPJ. Quando a informação for prestada por representante legal de terceiros, além do e-CPF ou do </w:t>
      </w:r>
      <w:proofErr w:type="spellStart"/>
      <w:r w:rsidRPr="00932B02">
        <w:rPr>
          <w:rFonts w:ascii="Arial" w:hAnsi="Arial" w:cs="Arial"/>
        </w:rPr>
        <w:t>eCNPJ</w:t>
      </w:r>
      <w:proofErr w:type="spellEnd"/>
      <w:r w:rsidRPr="00932B02">
        <w:rPr>
          <w:rFonts w:ascii="Arial" w:hAnsi="Arial" w:cs="Arial"/>
        </w:rPr>
        <w:t xml:space="preserve"> do representante legal, também se exige procuração eletrônica. O Certificado Digital permite a identificação de uma pessoa no ambiente digital em transação na internet que necessite de validade legal e identificação inequívoca. A lista de autoridades certificadoras, habilitadas pela Receita Federal para emissão de Certificados Digitais </w:t>
      </w:r>
      <w:proofErr w:type="spellStart"/>
      <w:r w:rsidRPr="00932B02">
        <w:rPr>
          <w:rFonts w:ascii="Arial" w:hAnsi="Arial" w:cs="Arial"/>
        </w:rPr>
        <w:t>eCPF</w:t>
      </w:r>
      <w:proofErr w:type="spellEnd"/>
      <w:r w:rsidRPr="00932B02">
        <w:rPr>
          <w:rFonts w:ascii="Arial" w:hAnsi="Arial" w:cs="Arial"/>
        </w:rPr>
        <w:t>,</w:t>
      </w:r>
    </w:p>
    <w:p w:rsidR="00B0013D" w:rsidRPr="00932B02" w:rsidRDefault="00B0013D" w:rsidP="004603F0">
      <w:pPr>
        <w:pStyle w:val="NormalWeb"/>
        <w:spacing w:before="0" w:beforeAutospacing="0"/>
        <w:jc w:val="both"/>
        <w:rPr>
          <w:rFonts w:ascii="Arial" w:hAnsi="Arial" w:cs="Arial"/>
        </w:rPr>
      </w:pPr>
      <w:r w:rsidRPr="00932B02">
        <w:rPr>
          <w:rFonts w:ascii="Arial" w:hAnsi="Arial" w:cs="Arial"/>
        </w:rPr>
        <w:t>No formulário “Declarante” deverá ser informada a identificação da pessoa física ou jurídica que efetuou o</w:t>
      </w:r>
      <w:r w:rsidR="004603F0" w:rsidRPr="00932B02">
        <w:rPr>
          <w:rFonts w:ascii="Arial" w:hAnsi="Arial" w:cs="Arial"/>
        </w:rPr>
        <w:t xml:space="preserve"> </w:t>
      </w:r>
      <w:r w:rsidRPr="00932B02">
        <w:rPr>
          <w:rFonts w:ascii="Arial" w:hAnsi="Arial" w:cs="Arial"/>
        </w:rPr>
        <w:t>pagamento. Em tal identificação, devem constar o nome ou a razão social e o CPF ou CNPJ.</w:t>
      </w:r>
    </w:p>
    <w:p w:rsidR="00B0013D" w:rsidRPr="00932B02" w:rsidRDefault="00B0013D" w:rsidP="00B0013D">
      <w:pPr>
        <w:pStyle w:val="NormalWeb"/>
        <w:spacing w:before="0" w:beforeAutospacing="0"/>
        <w:rPr>
          <w:rFonts w:ascii="Arial" w:hAnsi="Arial" w:cs="Arial"/>
        </w:rPr>
      </w:pPr>
      <w:r w:rsidRPr="00932B02">
        <w:rPr>
          <w:rFonts w:ascii="Arial" w:hAnsi="Arial" w:cs="Arial"/>
          <w:noProof/>
        </w:rPr>
        <w:drawing>
          <wp:inline distT="0" distB="0" distL="0" distR="0" wp14:anchorId="07357A14" wp14:editId="299909C3">
            <wp:extent cx="6389370" cy="849630"/>
            <wp:effectExtent l="0" t="0" r="0" b="7620"/>
            <wp:docPr id="4" name="Imagem 4" descr="dme declarant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me declarante">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89370" cy="849630"/>
                    </a:xfrm>
                    <a:prstGeom prst="rect">
                      <a:avLst/>
                    </a:prstGeom>
                    <a:noFill/>
                    <a:ln>
                      <a:noFill/>
                    </a:ln>
                  </pic:spPr>
                </pic:pic>
              </a:graphicData>
            </a:graphic>
          </wp:inline>
        </w:drawing>
      </w:r>
    </w:p>
    <w:p w:rsidR="00B0013D" w:rsidRPr="00932B02" w:rsidRDefault="00B0013D" w:rsidP="00B0013D">
      <w:pPr>
        <w:pStyle w:val="NormalWeb"/>
        <w:spacing w:before="0" w:beforeAutospacing="0"/>
        <w:rPr>
          <w:rFonts w:ascii="Arial" w:hAnsi="Arial" w:cs="Arial"/>
        </w:rPr>
      </w:pPr>
      <w:r w:rsidRPr="00932B02">
        <w:rPr>
          <w:rFonts w:ascii="Arial" w:hAnsi="Arial" w:cs="Arial"/>
        </w:rPr>
        <w:lastRenderedPageBreak/>
        <w:t>Se a operação que gerou o recebimento em espécie for realizada entre o declarante e mais de uma pessoa (física ou jurídica), as informações de identificação de cada uma delas devem constar do mesmo formulário eletrônico, ou seja, da mesma DME.</w:t>
      </w:r>
    </w:p>
    <w:p w:rsidR="00B0013D" w:rsidRPr="00932B02" w:rsidRDefault="00B0013D" w:rsidP="00B0013D">
      <w:pPr>
        <w:pStyle w:val="NormalWeb"/>
        <w:spacing w:before="0" w:beforeAutospacing="0"/>
        <w:rPr>
          <w:rFonts w:ascii="Arial" w:hAnsi="Arial" w:cs="Arial"/>
        </w:rPr>
      </w:pPr>
      <w:r w:rsidRPr="00932B02">
        <w:rPr>
          <w:rFonts w:ascii="Arial" w:hAnsi="Arial" w:cs="Arial"/>
          <w:noProof/>
        </w:rPr>
        <w:drawing>
          <wp:inline distT="0" distB="0" distL="0" distR="0" wp14:anchorId="6F185607" wp14:editId="13A942BB">
            <wp:extent cx="6389370" cy="1600200"/>
            <wp:effectExtent l="0" t="0" r="0" b="0"/>
            <wp:docPr id="3" name="Imagem 3" descr="dme declarados">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me declarados">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89370" cy="1600200"/>
                    </a:xfrm>
                    <a:prstGeom prst="rect">
                      <a:avLst/>
                    </a:prstGeom>
                    <a:noFill/>
                    <a:ln>
                      <a:noFill/>
                    </a:ln>
                  </pic:spPr>
                </pic:pic>
              </a:graphicData>
            </a:graphic>
          </wp:inline>
        </w:drawing>
      </w:r>
    </w:p>
    <w:p w:rsidR="00B0013D" w:rsidRPr="00932B02" w:rsidRDefault="00B0013D" w:rsidP="00B0013D">
      <w:pPr>
        <w:pStyle w:val="NormalWeb"/>
        <w:spacing w:before="0" w:beforeAutospacing="0"/>
        <w:rPr>
          <w:rFonts w:ascii="Arial" w:hAnsi="Arial" w:cs="Arial"/>
        </w:rPr>
      </w:pPr>
      <w:r w:rsidRPr="00932B02">
        <w:rPr>
          <w:rFonts w:ascii="Arial" w:hAnsi="Arial" w:cs="Arial"/>
        </w:rPr>
        <w:t>Se a operação que gerou o recebimento em espécie for realizada entre o declarante e pessoa física ou jurídica domiciliada no exterior, não inscrita no CPF ou CNPJ, respectivamente, deverão ser informados o Número de Identificação Fiscal (NIF) da pessoa no exterior e o país de residência ou domicílio fiscal.</w:t>
      </w:r>
    </w:p>
    <w:p w:rsidR="00B0013D" w:rsidRPr="00932B02" w:rsidRDefault="00B0013D" w:rsidP="00B0013D">
      <w:pPr>
        <w:pStyle w:val="NormalWeb"/>
        <w:spacing w:before="0" w:beforeAutospacing="0"/>
        <w:rPr>
          <w:rFonts w:ascii="Arial" w:hAnsi="Arial" w:cs="Arial"/>
        </w:rPr>
      </w:pPr>
      <w:r w:rsidRPr="00932B02">
        <w:rPr>
          <w:rFonts w:ascii="Arial" w:hAnsi="Arial" w:cs="Arial"/>
          <w:noProof/>
        </w:rPr>
        <w:drawing>
          <wp:inline distT="0" distB="0" distL="0" distR="0" wp14:anchorId="5F71C0E5" wp14:editId="2A01FD8A">
            <wp:extent cx="8364220" cy="2162810"/>
            <wp:effectExtent l="0" t="0" r="0" b="8890"/>
            <wp:docPr id="2" name="Imagem 2" descr="dme declaracao original">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me declaracao original">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364220" cy="2162810"/>
                    </a:xfrm>
                    <a:prstGeom prst="rect">
                      <a:avLst/>
                    </a:prstGeom>
                    <a:noFill/>
                    <a:ln>
                      <a:noFill/>
                    </a:ln>
                  </pic:spPr>
                </pic:pic>
              </a:graphicData>
            </a:graphic>
          </wp:inline>
        </w:drawing>
      </w:r>
    </w:p>
    <w:p w:rsidR="00B0013D" w:rsidRPr="00932B02" w:rsidRDefault="00B0013D" w:rsidP="004603F0">
      <w:pPr>
        <w:pStyle w:val="NormalWeb"/>
        <w:spacing w:before="0" w:beforeAutospacing="0"/>
        <w:jc w:val="both"/>
        <w:rPr>
          <w:rFonts w:ascii="Arial" w:hAnsi="Arial" w:cs="Arial"/>
        </w:rPr>
      </w:pPr>
      <w:r w:rsidRPr="00932B02">
        <w:rPr>
          <w:rFonts w:ascii="Arial" w:hAnsi="Arial" w:cs="Arial"/>
        </w:rPr>
        <w:t>O formulário permite que sejam selecionadas as opções “País não possui NIF”, para a situação em que o país de residência ou domicílio fiscal não possua NIF, e “Declarado não possui NIF”, para a situação em que mesmo que exista NIF no país de residência ou domicílio fiscal, por alguma situação específica, o Declarado não possua NIF.</w:t>
      </w:r>
    </w:p>
    <w:p w:rsidR="00B0013D" w:rsidRPr="00932B02" w:rsidRDefault="00B0013D" w:rsidP="004603F0">
      <w:pPr>
        <w:pStyle w:val="NormalWeb"/>
        <w:spacing w:before="0" w:beforeAutospacing="0"/>
        <w:jc w:val="both"/>
        <w:rPr>
          <w:rFonts w:ascii="Arial" w:hAnsi="Arial" w:cs="Arial"/>
        </w:rPr>
      </w:pPr>
      <w:r w:rsidRPr="00932B02">
        <w:rPr>
          <w:rFonts w:ascii="Arial" w:hAnsi="Arial" w:cs="Arial"/>
        </w:rPr>
        <w:t>Em seguida especifique o tipo da operação selecionando entre “Bens e Direitos”, “Serviços e Intangíveis” ou “Outras Operações”. Feito isto selecione o “Código do Tipo de Operação” relativo à operação que gerou o recebimento em espécie, constante do Anexo I ou do Anexo II, respectivamente, da Instrução Normativa RFB n° 1761, de 20 de novembro de 2017.</w:t>
      </w:r>
    </w:p>
    <w:p w:rsidR="00B0013D" w:rsidRPr="00932B02" w:rsidRDefault="00B0013D" w:rsidP="00B0013D">
      <w:pPr>
        <w:pStyle w:val="NormalWeb"/>
        <w:spacing w:before="0" w:beforeAutospacing="0"/>
        <w:rPr>
          <w:rFonts w:ascii="Arial" w:hAnsi="Arial" w:cs="Arial"/>
        </w:rPr>
      </w:pPr>
      <w:r w:rsidRPr="00932B02">
        <w:rPr>
          <w:rFonts w:ascii="Arial" w:hAnsi="Arial" w:cs="Arial"/>
        </w:rPr>
        <w:t>No caso das demais operações (como, por exemplo, distribuição de dividendos) em que não há código específico nos anexos mencionados anteriormente, o campo código não será preenchido, portanto não será obrigatório. Nesse caso, deve ser selecionada a opção “Outras Operações”.</w:t>
      </w:r>
    </w:p>
    <w:p w:rsidR="00B0013D" w:rsidRPr="00932B02" w:rsidRDefault="00B0013D" w:rsidP="00B0013D">
      <w:pPr>
        <w:pStyle w:val="NormalWeb"/>
        <w:spacing w:before="0" w:beforeAutospacing="0"/>
        <w:rPr>
          <w:rFonts w:ascii="Arial" w:hAnsi="Arial" w:cs="Arial"/>
        </w:rPr>
      </w:pPr>
      <w:r w:rsidRPr="00932B02">
        <w:rPr>
          <w:rFonts w:ascii="Arial" w:hAnsi="Arial" w:cs="Arial"/>
        </w:rPr>
        <w:t>O próximo passo é entrar com uma “Descrição” detalhada para o bem ou direito ou o serviço ou intangível ou a outra operação que gerou o recebimento em espécie, o “Valor Total” da operação e o “Valor Liquidado em Espécie”.</w:t>
      </w:r>
    </w:p>
    <w:p w:rsidR="00B0013D" w:rsidRPr="00932B02" w:rsidRDefault="00B0013D" w:rsidP="004603F0">
      <w:pPr>
        <w:pStyle w:val="NormalWeb"/>
        <w:shd w:val="clear" w:color="auto" w:fill="F8F9F9"/>
        <w:spacing w:before="0" w:beforeAutospacing="0" w:after="0" w:afterAutospacing="0"/>
        <w:jc w:val="both"/>
        <w:rPr>
          <w:rFonts w:ascii="Arial" w:hAnsi="Arial" w:cs="Arial"/>
          <w:i/>
          <w:iCs/>
        </w:rPr>
      </w:pPr>
      <w:r w:rsidRPr="00932B02">
        <w:rPr>
          <w:rFonts w:ascii="Arial" w:hAnsi="Arial" w:cs="Arial"/>
          <w:iCs/>
        </w:rPr>
        <w:lastRenderedPageBreak/>
        <w:t>Observação: Nas operações em que for utilizada moeda estrangeira, o valor em real será apurado com base na cotação de compra para a moeda, divulgada pelo Banco Central do Brasil, correspondente ao dia útil imediatamente anterior ao do recebimento. Nas operações em que for utilizada moeda estrangeira sem cotação divulgada pelo Banco Central do Brasil o valor deve ser convertido em dólar dos Estados Unidos da América com base no valor fixado pela autoridade monetária do país de origem da</w:t>
      </w:r>
      <w:r w:rsidRPr="00932B02">
        <w:rPr>
          <w:rFonts w:ascii="Arial" w:hAnsi="Arial" w:cs="Arial"/>
          <w:i/>
          <w:iCs/>
        </w:rPr>
        <w:t xml:space="preserve"> moeda, correspondente ao dia útil imediatamente anterior ao do recebimento, e em seguida em real, com base na regra prevista no parágrafo anterior.</w:t>
      </w:r>
    </w:p>
    <w:p w:rsidR="00B0013D" w:rsidRPr="00932B02" w:rsidRDefault="00B0013D" w:rsidP="004603F0">
      <w:pPr>
        <w:pStyle w:val="NormalWeb"/>
        <w:spacing w:before="0" w:beforeAutospacing="0"/>
        <w:jc w:val="both"/>
        <w:rPr>
          <w:rFonts w:ascii="Arial" w:hAnsi="Arial" w:cs="Arial"/>
          <w:b/>
        </w:rPr>
      </w:pPr>
      <w:r w:rsidRPr="00932B02">
        <w:rPr>
          <w:rFonts w:ascii="Arial" w:hAnsi="Arial" w:cs="Arial"/>
        </w:rPr>
        <w:t>Finalmente, selecione as moedas utilizadas na operação e entre com a data da operação, ou seja, do recebimento em espécie.</w:t>
      </w:r>
    </w:p>
    <w:p w:rsidR="00B0013D" w:rsidRPr="00932B02" w:rsidRDefault="00B0013D" w:rsidP="00B0013D">
      <w:pPr>
        <w:pStyle w:val="Ttulo2"/>
        <w:spacing w:before="300"/>
        <w:rPr>
          <w:rFonts w:ascii="Arial" w:hAnsi="Arial" w:cs="Arial"/>
          <w:b/>
          <w:color w:val="auto"/>
          <w:sz w:val="24"/>
          <w:szCs w:val="24"/>
        </w:rPr>
      </w:pPr>
      <w:r w:rsidRPr="00932B02">
        <w:rPr>
          <w:rFonts w:ascii="Arial" w:hAnsi="Arial" w:cs="Arial"/>
          <w:b/>
          <w:color w:val="auto"/>
          <w:sz w:val="24"/>
          <w:szCs w:val="24"/>
        </w:rPr>
        <w:t>Retificação da DME</w:t>
      </w:r>
    </w:p>
    <w:p w:rsidR="00B0013D" w:rsidRPr="00932B02" w:rsidRDefault="00B0013D" w:rsidP="004603F0">
      <w:pPr>
        <w:pStyle w:val="NormalWeb"/>
        <w:spacing w:before="0" w:beforeAutospacing="0"/>
        <w:jc w:val="both"/>
        <w:rPr>
          <w:rFonts w:ascii="Arial" w:hAnsi="Arial" w:cs="Arial"/>
        </w:rPr>
      </w:pPr>
      <w:r w:rsidRPr="00932B02">
        <w:rPr>
          <w:rFonts w:ascii="Arial" w:hAnsi="Arial" w:cs="Arial"/>
        </w:rPr>
        <w:t>Após o envio da DME, será emitido um recibo de entrega. Tal recibo conterá um número necessário tanto para a consulta posterior como para a retificação da DME já entregue. Erros ou omissões constatados depois da entrega da DME podem ser corrigidos mediante apresentação de DME retificadora. Para tanto, o usuário acessará a opção “Consultar uma DME” e após selecionará a opção “Retificar”. A DME retificadora deve conter as informações prestadas na DME retificada e as inclusões, exclusões ou alterações necessárias, e terá a mesma natureza desta.</w:t>
      </w:r>
    </w:p>
    <w:p w:rsidR="00B0013D" w:rsidRPr="00932B02" w:rsidRDefault="00B0013D" w:rsidP="00B0013D">
      <w:pPr>
        <w:pStyle w:val="Ttulo2"/>
        <w:spacing w:before="300"/>
        <w:rPr>
          <w:rFonts w:ascii="Arial" w:hAnsi="Arial" w:cs="Arial"/>
          <w:b/>
          <w:color w:val="auto"/>
          <w:sz w:val="24"/>
          <w:szCs w:val="24"/>
        </w:rPr>
      </w:pPr>
      <w:r w:rsidRPr="00932B02">
        <w:rPr>
          <w:rFonts w:ascii="Arial" w:hAnsi="Arial" w:cs="Arial"/>
          <w:b/>
          <w:color w:val="auto"/>
          <w:sz w:val="24"/>
          <w:szCs w:val="24"/>
        </w:rPr>
        <w:t>Exemplos Práticos</w:t>
      </w:r>
    </w:p>
    <w:p w:rsidR="00B0013D" w:rsidRPr="00932B02" w:rsidRDefault="00B0013D" w:rsidP="00B0013D">
      <w:pPr>
        <w:pStyle w:val="Ttulo3"/>
        <w:spacing w:before="300"/>
        <w:rPr>
          <w:rFonts w:ascii="Arial" w:hAnsi="Arial" w:cs="Arial"/>
          <w:b/>
          <w:color w:val="auto"/>
        </w:rPr>
      </w:pPr>
      <w:r w:rsidRPr="00932B02">
        <w:rPr>
          <w:rFonts w:ascii="Arial" w:hAnsi="Arial" w:cs="Arial"/>
          <w:b/>
          <w:color w:val="auto"/>
        </w:rPr>
        <w:t>Exemplo 1</w:t>
      </w:r>
    </w:p>
    <w:p w:rsidR="00B0013D" w:rsidRPr="00932B02" w:rsidRDefault="00B0013D" w:rsidP="00B0013D">
      <w:pPr>
        <w:pStyle w:val="NormalWeb"/>
        <w:spacing w:before="0" w:beforeAutospacing="0"/>
        <w:rPr>
          <w:rFonts w:ascii="Arial" w:hAnsi="Arial" w:cs="Arial"/>
        </w:rPr>
      </w:pPr>
      <w:r w:rsidRPr="00932B02">
        <w:rPr>
          <w:rFonts w:ascii="Arial" w:hAnsi="Arial" w:cs="Arial"/>
        </w:rPr>
        <w:t>Determinado estabelecimento possui 100 clientes e ao longo do mês de janeiro foram vendidos produtos para todos os seus 100 clientes.</w:t>
      </w:r>
    </w:p>
    <w:p w:rsidR="00B0013D" w:rsidRPr="00932B02" w:rsidRDefault="00B0013D" w:rsidP="00B0013D">
      <w:pPr>
        <w:pStyle w:val="NormalWeb"/>
        <w:spacing w:before="0" w:beforeAutospacing="0"/>
        <w:rPr>
          <w:rFonts w:ascii="Arial" w:hAnsi="Arial" w:cs="Arial"/>
        </w:rPr>
      </w:pPr>
      <w:r w:rsidRPr="00932B02">
        <w:rPr>
          <w:rFonts w:ascii="Arial" w:hAnsi="Arial" w:cs="Arial"/>
        </w:rPr>
        <w:t>Para 50 clientes, as operações, realizadas com cada cliente, não atingiram o montante de R$ 30.000,00 no mês. PORTANTO, NÃO HÁ QUE SE FALAR EM DME PARA TAIS CLIENTES.</w:t>
      </w:r>
    </w:p>
    <w:p w:rsidR="00B0013D" w:rsidRPr="00932B02" w:rsidRDefault="00B0013D" w:rsidP="004603F0">
      <w:pPr>
        <w:pStyle w:val="NormalWeb"/>
        <w:spacing w:before="0" w:beforeAutospacing="0"/>
        <w:jc w:val="both"/>
        <w:rPr>
          <w:rFonts w:ascii="Arial" w:hAnsi="Arial" w:cs="Arial"/>
        </w:rPr>
      </w:pPr>
      <w:r w:rsidRPr="00932B02">
        <w:rPr>
          <w:rFonts w:ascii="Arial" w:hAnsi="Arial" w:cs="Arial"/>
        </w:rPr>
        <w:t>Para quarenta e nove (49) clientes, as operações, realizadas com cada cliente, atingiram o montante de R$ 30.000,00 (trinta mil reais) no mês, porém o valor liquidado em espécie, para cada cliente, não atingiu o montante de R$ 30.000,00 no mês. PORTANTO, NÃO HÁ QUE SE FALAR EM DME PARA TAIS</w:t>
      </w:r>
      <w:r w:rsidRPr="00932B02">
        <w:rPr>
          <w:rFonts w:ascii="Arial" w:hAnsi="Arial" w:cs="Arial"/>
        </w:rPr>
        <w:br/>
        <w:t>CLIENTES.</w:t>
      </w:r>
    </w:p>
    <w:p w:rsidR="00B0013D" w:rsidRPr="00932B02" w:rsidRDefault="00B0013D" w:rsidP="004603F0">
      <w:pPr>
        <w:pStyle w:val="NormalWeb"/>
        <w:spacing w:before="0" w:beforeAutospacing="0"/>
        <w:jc w:val="both"/>
        <w:rPr>
          <w:rFonts w:ascii="Arial" w:hAnsi="Arial" w:cs="Arial"/>
        </w:rPr>
      </w:pPr>
      <w:r w:rsidRPr="00932B02">
        <w:rPr>
          <w:rFonts w:ascii="Arial" w:hAnsi="Arial" w:cs="Arial"/>
        </w:rPr>
        <w:t>Em relação às operações realizadas com um de seus clientes, o valor liquidado em espécie foi igual ou superior a R$ 30.000,00 (trinta mil reais) no mês. NESSE CASO, FAZ-SE NECESSÁRIO O ENVIO DE UMA DME PARA CADA OPERAÇÃO REALIZADA COM ESSE CLIENTE.</w:t>
      </w:r>
    </w:p>
    <w:p w:rsidR="00B0013D" w:rsidRPr="00932B02" w:rsidRDefault="00B0013D" w:rsidP="00B0013D">
      <w:pPr>
        <w:pStyle w:val="Ttulo3"/>
        <w:spacing w:before="300"/>
        <w:rPr>
          <w:rFonts w:ascii="Arial" w:hAnsi="Arial" w:cs="Arial"/>
          <w:color w:val="auto"/>
        </w:rPr>
      </w:pPr>
      <w:r w:rsidRPr="00932B02">
        <w:rPr>
          <w:rFonts w:ascii="Arial" w:hAnsi="Arial" w:cs="Arial"/>
          <w:color w:val="auto"/>
        </w:rPr>
        <w:t>Exemplo 2</w:t>
      </w:r>
    </w:p>
    <w:p w:rsidR="00B0013D" w:rsidRPr="00932B02" w:rsidRDefault="00B0013D" w:rsidP="004603F0">
      <w:pPr>
        <w:pStyle w:val="NormalWeb"/>
        <w:spacing w:before="0" w:beforeAutospacing="0"/>
        <w:jc w:val="both"/>
        <w:rPr>
          <w:rFonts w:ascii="Arial" w:hAnsi="Arial" w:cs="Arial"/>
        </w:rPr>
      </w:pPr>
      <w:r w:rsidRPr="00932B02">
        <w:rPr>
          <w:rFonts w:ascii="Arial" w:hAnsi="Arial" w:cs="Arial"/>
        </w:rPr>
        <w:t>Determinada imobiliária vendeu uma casa e um apartamento para um determinado cliente e recebeu o valor em espécie igual ou superior a R$ 30.000,00 em determinado dia do mês. Neste caso, deverão ser informadas duas DME, pois cada bem possui classificação distinta conforme Anexo I da Instrução Normativa RFB n° 1761.</w:t>
      </w:r>
    </w:p>
    <w:p w:rsidR="00B0013D" w:rsidRPr="00932B02" w:rsidRDefault="00B0013D" w:rsidP="004603F0">
      <w:pPr>
        <w:pStyle w:val="NormalWeb"/>
        <w:spacing w:before="0" w:beforeAutospacing="0"/>
        <w:jc w:val="both"/>
        <w:rPr>
          <w:rFonts w:ascii="Arial" w:hAnsi="Arial" w:cs="Arial"/>
        </w:rPr>
      </w:pPr>
      <w:r w:rsidRPr="00932B02">
        <w:rPr>
          <w:rFonts w:ascii="Arial" w:hAnsi="Arial" w:cs="Arial"/>
        </w:rPr>
        <w:t>Caso o estabelecimento tivesse vendido duas casas ou dois apartamentos para o mesmo cliente e tivesse recebido o valor em espécie igual ou superior a R$ 30.000,00 em determinado dia do mês, poderia ter sido</w:t>
      </w:r>
      <w:r w:rsidRPr="00932B02">
        <w:rPr>
          <w:rFonts w:ascii="Arial" w:hAnsi="Arial" w:cs="Arial"/>
        </w:rPr>
        <w:br/>
        <w:t>informada uma DME, pois os bens possuiriam a mesma classificação conforme Anexo I da Instrução Normativa RFB n° 1761.</w:t>
      </w:r>
    </w:p>
    <w:p w:rsidR="00B0013D" w:rsidRPr="00932B02" w:rsidRDefault="00B0013D" w:rsidP="004603F0">
      <w:pPr>
        <w:pStyle w:val="NormalWeb"/>
        <w:spacing w:before="0" w:beforeAutospacing="0"/>
        <w:jc w:val="both"/>
        <w:rPr>
          <w:rFonts w:ascii="Arial" w:hAnsi="Arial" w:cs="Arial"/>
        </w:rPr>
      </w:pPr>
      <w:r w:rsidRPr="00932B02">
        <w:rPr>
          <w:rFonts w:ascii="Arial" w:hAnsi="Arial" w:cs="Arial"/>
        </w:rPr>
        <w:lastRenderedPageBreak/>
        <w:t>No campo “descrição” o declarante deverá fazer referência aos dois bens transacionados. Se o recebimento do valor em espécie tivesse ocorrido em datas distintas, cada recebimento seria considerado uma operação distinta e, portanto, deveriam ser informadas duas DME.</w:t>
      </w:r>
    </w:p>
    <w:p w:rsidR="00B0013D" w:rsidRPr="00932B02" w:rsidRDefault="00B0013D" w:rsidP="00B0013D">
      <w:pPr>
        <w:pStyle w:val="Ttulo3"/>
        <w:spacing w:before="300"/>
        <w:rPr>
          <w:rFonts w:ascii="Arial" w:hAnsi="Arial" w:cs="Arial"/>
          <w:color w:val="auto"/>
        </w:rPr>
      </w:pPr>
      <w:r w:rsidRPr="00932B02">
        <w:rPr>
          <w:rFonts w:ascii="Arial" w:hAnsi="Arial" w:cs="Arial"/>
          <w:color w:val="auto"/>
        </w:rPr>
        <w:t>Exemplo 3</w:t>
      </w:r>
    </w:p>
    <w:p w:rsidR="00B0013D" w:rsidRPr="00932B02" w:rsidRDefault="00B0013D" w:rsidP="004603F0">
      <w:pPr>
        <w:pStyle w:val="NormalWeb"/>
        <w:spacing w:before="0" w:beforeAutospacing="0"/>
        <w:jc w:val="both"/>
        <w:rPr>
          <w:rFonts w:ascii="Arial" w:hAnsi="Arial" w:cs="Arial"/>
        </w:rPr>
      </w:pPr>
      <w:r w:rsidRPr="00932B02">
        <w:rPr>
          <w:rFonts w:ascii="Arial" w:hAnsi="Arial" w:cs="Arial"/>
        </w:rPr>
        <w:t>Determinada pessoa vende um único imóvel para três pessoas e tal operação tem montante igual ou superior a R$ 30.000,00 liquidado com moeda em espécie. NESSE CASO, FAZ-SE NECESSÁRIO O ENVIO DE UMA DME PARA A OPERAÇÃO, INFORMANDO, NA MESMA DME, TODOS OS TRÊS ADQUIRENTES.</w:t>
      </w:r>
    </w:p>
    <w:p w:rsidR="00B0013D" w:rsidRPr="00932B02" w:rsidRDefault="00B0013D" w:rsidP="004603F0">
      <w:pPr>
        <w:pStyle w:val="NormalWeb"/>
        <w:spacing w:before="0" w:beforeAutospacing="0"/>
        <w:jc w:val="both"/>
        <w:rPr>
          <w:rFonts w:ascii="Arial" w:hAnsi="Arial" w:cs="Arial"/>
        </w:rPr>
      </w:pPr>
      <w:r w:rsidRPr="00932B02">
        <w:rPr>
          <w:rFonts w:ascii="Arial" w:hAnsi="Arial" w:cs="Arial"/>
        </w:rPr>
        <w:t>Isto porque o limite de R$ 30.000,00 deve ser aplicado por operação se esta for realizada entre o declarante e mais de uma pessoa física ou jurídica, independentemente do valor recebido de cada pessoa.</w:t>
      </w:r>
    </w:p>
    <w:p w:rsidR="00B0013D" w:rsidRPr="00932B02" w:rsidRDefault="00B0013D" w:rsidP="00B0013D">
      <w:pPr>
        <w:pStyle w:val="Ttulo3"/>
        <w:spacing w:before="300"/>
        <w:rPr>
          <w:rFonts w:ascii="Arial" w:hAnsi="Arial" w:cs="Arial"/>
          <w:color w:val="auto"/>
        </w:rPr>
      </w:pPr>
      <w:r w:rsidRPr="00932B02">
        <w:rPr>
          <w:rFonts w:ascii="Arial" w:hAnsi="Arial" w:cs="Arial"/>
          <w:color w:val="auto"/>
        </w:rPr>
        <w:t>Exemplo 4</w:t>
      </w:r>
    </w:p>
    <w:p w:rsidR="00B0013D" w:rsidRPr="00932B02" w:rsidRDefault="00B0013D" w:rsidP="004603F0">
      <w:pPr>
        <w:pStyle w:val="NormalWeb"/>
        <w:spacing w:before="0" w:beforeAutospacing="0"/>
        <w:jc w:val="both"/>
        <w:rPr>
          <w:rFonts w:ascii="Arial" w:hAnsi="Arial" w:cs="Arial"/>
        </w:rPr>
      </w:pPr>
      <w:r w:rsidRPr="00932B02">
        <w:rPr>
          <w:rFonts w:ascii="Arial" w:hAnsi="Arial" w:cs="Arial"/>
        </w:rPr>
        <w:t>Uma imobiliária vende um apartamento para três pessoas e tal operação tem montante igual a R$ 15.000,00 liquidado com moeda em espécie. Dentro do mesmo mês de referência, a imobiliária vende uma casa para uma das pessoas que comprou o apartamento em conjunto. Na venda da casa, o montante igual a R$ 15.000,00 foi liquidado com moeda em espécie. Portanto, a pessoa que comprou a casa atingiu o limite por ter, ainda que em conjunto, pago valor em espécie, em determinado mês de referência, igual ou superior a R$ 30.000,00.</w:t>
      </w:r>
    </w:p>
    <w:p w:rsidR="00B0013D" w:rsidRPr="00932B02" w:rsidRDefault="00B0013D" w:rsidP="004603F0">
      <w:pPr>
        <w:pStyle w:val="NormalWeb"/>
        <w:spacing w:before="0" w:beforeAutospacing="0"/>
        <w:rPr>
          <w:rFonts w:ascii="Arial" w:hAnsi="Arial" w:cs="Arial"/>
        </w:rPr>
      </w:pPr>
      <w:r w:rsidRPr="00932B02">
        <w:rPr>
          <w:rFonts w:ascii="Arial" w:hAnsi="Arial" w:cs="Arial"/>
        </w:rPr>
        <w:t>NESSE CASO, FAZ-SE NECESSÁRIO O ENVIO DE DUAS DME. UMA PARA A OPERAÇÂO EM CONJUNTO (APARTAMENTO), INFORMANDO NA MESMA DME TODOS OS TRÊS ADQUIRENTES, E UMA PARA A VENDA</w:t>
      </w:r>
      <w:r w:rsidRPr="00932B02">
        <w:rPr>
          <w:rFonts w:ascii="Arial" w:hAnsi="Arial" w:cs="Arial"/>
        </w:rPr>
        <w:br/>
        <w:t>DA CASA.</w:t>
      </w:r>
    </w:p>
    <w:p w:rsidR="00B0013D" w:rsidRPr="00932B02" w:rsidRDefault="00B0013D" w:rsidP="00B0013D">
      <w:pPr>
        <w:pStyle w:val="Ttulo2"/>
        <w:spacing w:before="300"/>
        <w:rPr>
          <w:rFonts w:ascii="Arial" w:hAnsi="Arial" w:cs="Arial"/>
          <w:b/>
          <w:color w:val="auto"/>
          <w:sz w:val="24"/>
          <w:szCs w:val="24"/>
        </w:rPr>
      </w:pPr>
      <w:r w:rsidRPr="00932B02">
        <w:rPr>
          <w:rFonts w:ascii="Arial" w:hAnsi="Arial" w:cs="Arial"/>
          <w:b/>
          <w:color w:val="auto"/>
          <w:sz w:val="24"/>
          <w:szCs w:val="24"/>
        </w:rPr>
        <w:t>Anexos</w:t>
      </w:r>
    </w:p>
    <w:p w:rsidR="00B0013D" w:rsidRPr="00932B02" w:rsidRDefault="00B0013D" w:rsidP="00B0013D">
      <w:pPr>
        <w:pStyle w:val="Ttulo3"/>
        <w:spacing w:before="300"/>
        <w:rPr>
          <w:rFonts w:ascii="Arial" w:hAnsi="Arial" w:cs="Arial"/>
          <w:b/>
          <w:color w:val="auto"/>
        </w:rPr>
      </w:pPr>
      <w:r w:rsidRPr="00932B02">
        <w:rPr>
          <w:rFonts w:ascii="Arial" w:hAnsi="Arial" w:cs="Arial"/>
          <w:b/>
          <w:color w:val="auto"/>
        </w:rPr>
        <w:t>Códigos de Bens</w:t>
      </w:r>
    </w:p>
    <w:tbl>
      <w:tblPr>
        <w:tblW w:w="12216" w:type="dxa"/>
        <w:tblBorders>
          <w:top w:val="single" w:sz="6" w:space="0" w:color="E9E9E9"/>
          <w:left w:val="single" w:sz="6" w:space="0" w:color="E9E9E9"/>
          <w:bottom w:val="single" w:sz="6" w:space="0" w:color="E9E9E9"/>
          <w:right w:val="single" w:sz="6" w:space="0" w:color="E9E9E9"/>
        </w:tblBorders>
        <w:tblCellMar>
          <w:top w:w="15" w:type="dxa"/>
          <w:left w:w="15" w:type="dxa"/>
          <w:bottom w:w="15" w:type="dxa"/>
          <w:right w:w="15" w:type="dxa"/>
        </w:tblCellMar>
        <w:tblLook w:val="04A0" w:firstRow="1" w:lastRow="0" w:firstColumn="1" w:lastColumn="0" w:noHBand="0" w:noVBand="1"/>
      </w:tblPr>
      <w:tblGrid>
        <w:gridCol w:w="2565"/>
        <w:gridCol w:w="9651"/>
      </w:tblGrid>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b/>
                <w:sz w:val="24"/>
                <w:szCs w:val="24"/>
              </w:rPr>
            </w:pPr>
            <w:r w:rsidRPr="00932B02">
              <w:rPr>
                <w:rFonts w:ascii="Arial" w:hAnsi="Arial" w:cs="Arial"/>
                <w:b/>
                <w:sz w:val="24"/>
                <w:szCs w:val="24"/>
              </w:rPr>
              <w:t>Código do bem</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b/>
                <w:sz w:val="24"/>
                <w:szCs w:val="24"/>
              </w:rPr>
            </w:pPr>
            <w:r w:rsidRPr="00932B02">
              <w:rPr>
                <w:rFonts w:ascii="Arial" w:hAnsi="Arial" w:cs="Arial"/>
                <w:b/>
                <w:sz w:val="24"/>
                <w:szCs w:val="24"/>
              </w:rPr>
              <w:t>Bem</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1</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Prédio residencial</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2</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Prédio comercial</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3</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Galpão</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11</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Apartamento</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12</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Casa</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lastRenderedPageBreak/>
              <w:t>13</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Terreno</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14</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Terra nua</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15</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Sala ou conjunto</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16</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Construção</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17</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Benfeitorias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18</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Loja</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19</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Outros bens imóveis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21</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Veículo automotor terrestre: caminhão, automóvel, moto etc.</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22</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Aeronave</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23</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Embarcação</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24</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Bens relacionados ao exercício da atividade autônoma</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25</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Joia, quadro, objeto de arte, de coleção, antiguidade etc.</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26</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Linha telefônica</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29</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Outros bens móveis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31</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Ações (inclusive as provenientes de linha telefônica)</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lastRenderedPageBreak/>
              <w:t>32</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Quotas ou quinhões de capital</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39</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Outras participações societárias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92</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Título de clube e assemelhado</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99</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Outros bens e direitos</w:t>
            </w:r>
          </w:p>
        </w:tc>
      </w:tr>
    </w:tbl>
    <w:p w:rsidR="00B0013D" w:rsidRPr="00932B02" w:rsidRDefault="00B0013D" w:rsidP="00B0013D">
      <w:pPr>
        <w:pStyle w:val="Ttulo3"/>
        <w:spacing w:before="300"/>
        <w:rPr>
          <w:rFonts w:ascii="Arial" w:hAnsi="Arial" w:cs="Arial"/>
          <w:b/>
          <w:color w:val="auto"/>
        </w:rPr>
      </w:pPr>
      <w:r w:rsidRPr="00932B02">
        <w:rPr>
          <w:rFonts w:ascii="Arial" w:hAnsi="Arial" w:cs="Arial"/>
          <w:b/>
          <w:color w:val="auto"/>
        </w:rPr>
        <w:t>Códigos de Serviços</w:t>
      </w:r>
    </w:p>
    <w:tbl>
      <w:tblPr>
        <w:tblW w:w="12216" w:type="dxa"/>
        <w:tblBorders>
          <w:top w:val="single" w:sz="6" w:space="0" w:color="E9E9E9"/>
          <w:left w:val="single" w:sz="6" w:space="0" w:color="E9E9E9"/>
          <w:bottom w:val="single" w:sz="6" w:space="0" w:color="E9E9E9"/>
          <w:right w:val="single" w:sz="6" w:space="0" w:color="E9E9E9"/>
        </w:tblBorders>
        <w:tblCellMar>
          <w:top w:w="15" w:type="dxa"/>
          <w:left w:w="15" w:type="dxa"/>
          <w:bottom w:w="15" w:type="dxa"/>
          <w:right w:w="15" w:type="dxa"/>
        </w:tblCellMar>
        <w:tblLook w:val="04A0" w:firstRow="1" w:lastRow="0" w:firstColumn="1" w:lastColumn="0" w:noHBand="0" w:noVBand="1"/>
      </w:tblPr>
      <w:tblGrid>
        <w:gridCol w:w="2565"/>
        <w:gridCol w:w="9651"/>
      </w:tblGrid>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b/>
                <w:sz w:val="24"/>
                <w:szCs w:val="24"/>
              </w:rPr>
            </w:pPr>
            <w:r w:rsidRPr="00932B02">
              <w:rPr>
                <w:rFonts w:ascii="Arial" w:hAnsi="Arial" w:cs="Arial"/>
                <w:b/>
                <w:sz w:val="24"/>
                <w:szCs w:val="24"/>
              </w:rPr>
              <w:t>Código do serviço</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b/>
                <w:sz w:val="24"/>
                <w:szCs w:val="24"/>
              </w:rPr>
            </w:pPr>
            <w:r w:rsidRPr="00932B02">
              <w:rPr>
                <w:rFonts w:ascii="Arial" w:hAnsi="Arial" w:cs="Arial"/>
                <w:b/>
                <w:sz w:val="24"/>
                <w:szCs w:val="24"/>
              </w:rPr>
              <w:t>Serviço</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1</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Serviços de construção</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2</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Serviços de distribuição de mercadorias; serviços de despachante aduaneiro</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3</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Fornecimento de alimentação e bebidas e serviços de hospedagem</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4</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Serviços de transporte de passageiros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5</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Serviços de transporte de cargas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6</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Serviços de apoio aos transportes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7</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4603F0" w:rsidRPr="00932B02" w:rsidRDefault="00B0013D">
            <w:pPr>
              <w:spacing w:line="480" w:lineRule="auto"/>
              <w:rPr>
                <w:rFonts w:ascii="Arial" w:hAnsi="Arial" w:cs="Arial"/>
                <w:sz w:val="24"/>
                <w:szCs w:val="24"/>
              </w:rPr>
            </w:pPr>
            <w:r w:rsidRPr="00932B02">
              <w:rPr>
                <w:rFonts w:ascii="Arial" w:hAnsi="Arial" w:cs="Arial"/>
                <w:sz w:val="24"/>
                <w:szCs w:val="24"/>
              </w:rPr>
              <w:t xml:space="preserve">Serviços postais; serviços de coleta, remessa ou entrega de </w:t>
            </w:r>
          </w:p>
          <w:p w:rsidR="00B0013D" w:rsidRPr="00932B02" w:rsidRDefault="00B0013D">
            <w:pPr>
              <w:spacing w:line="480" w:lineRule="auto"/>
              <w:rPr>
                <w:rFonts w:ascii="Arial" w:hAnsi="Arial" w:cs="Arial"/>
                <w:sz w:val="24"/>
                <w:szCs w:val="24"/>
              </w:rPr>
            </w:pPr>
            <w:proofErr w:type="gramStart"/>
            <w:r w:rsidRPr="00932B02">
              <w:rPr>
                <w:rFonts w:ascii="Arial" w:hAnsi="Arial" w:cs="Arial"/>
                <w:sz w:val="24"/>
                <w:szCs w:val="24"/>
              </w:rPr>
              <w:t>documentos</w:t>
            </w:r>
            <w:proofErr w:type="gramEnd"/>
            <w:r w:rsidRPr="00932B02">
              <w:rPr>
                <w:rFonts w:ascii="Arial" w:hAnsi="Arial" w:cs="Arial"/>
                <w:sz w:val="24"/>
                <w:szCs w:val="24"/>
              </w:rPr>
              <w:t xml:space="preserve"> (exceto cartas) ou de pequenos objetos; serviços de remessas expressas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8</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4603F0" w:rsidRPr="00932B02" w:rsidRDefault="00B0013D">
            <w:pPr>
              <w:spacing w:line="480" w:lineRule="auto"/>
              <w:rPr>
                <w:rFonts w:ascii="Arial" w:hAnsi="Arial" w:cs="Arial"/>
                <w:sz w:val="24"/>
                <w:szCs w:val="24"/>
              </w:rPr>
            </w:pPr>
            <w:r w:rsidRPr="00932B02">
              <w:rPr>
                <w:rFonts w:ascii="Arial" w:hAnsi="Arial" w:cs="Arial"/>
                <w:sz w:val="24"/>
                <w:szCs w:val="24"/>
              </w:rPr>
              <w:t>Serviços de transmissão e distribuição de eletricidade; serviços de</w:t>
            </w:r>
          </w:p>
          <w:p w:rsidR="00B0013D" w:rsidRPr="00932B02" w:rsidRDefault="00B0013D">
            <w:pPr>
              <w:spacing w:line="480" w:lineRule="auto"/>
              <w:rPr>
                <w:rFonts w:ascii="Arial" w:hAnsi="Arial" w:cs="Arial"/>
                <w:sz w:val="24"/>
                <w:szCs w:val="24"/>
              </w:rPr>
            </w:pPr>
            <w:r w:rsidRPr="00932B02">
              <w:rPr>
                <w:rFonts w:ascii="Arial" w:hAnsi="Arial" w:cs="Arial"/>
                <w:sz w:val="24"/>
                <w:szCs w:val="24"/>
              </w:rPr>
              <w:t xml:space="preserve"> </w:t>
            </w:r>
            <w:proofErr w:type="gramStart"/>
            <w:r w:rsidRPr="00932B02">
              <w:rPr>
                <w:rFonts w:ascii="Arial" w:hAnsi="Arial" w:cs="Arial"/>
                <w:sz w:val="24"/>
                <w:szCs w:val="24"/>
              </w:rPr>
              <w:t>distribuição</w:t>
            </w:r>
            <w:proofErr w:type="gramEnd"/>
            <w:r w:rsidRPr="00932B02">
              <w:rPr>
                <w:rFonts w:ascii="Arial" w:hAnsi="Arial" w:cs="Arial"/>
                <w:sz w:val="24"/>
                <w:szCs w:val="24"/>
              </w:rPr>
              <w:t xml:space="preserve"> de gás e água</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lastRenderedPageBreak/>
              <w:t>S 9</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4603F0" w:rsidRPr="00932B02" w:rsidRDefault="00B0013D">
            <w:pPr>
              <w:spacing w:line="480" w:lineRule="auto"/>
              <w:rPr>
                <w:rFonts w:ascii="Arial" w:hAnsi="Arial" w:cs="Arial"/>
                <w:sz w:val="24"/>
                <w:szCs w:val="24"/>
              </w:rPr>
            </w:pPr>
            <w:r w:rsidRPr="00932B02">
              <w:rPr>
                <w:rFonts w:ascii="Arial" w:hAnsi="Arial" w:cs="Arial"/>
                <w:sz w:val="24"/>
                <w:szCs w:val="24"/>
              </w:rPr>
              <w:t>Serviços financeiros e relacionados; securitização de recebíveis e</w:t>
            </w:r>
          </w:p>
          <w:p w:rsidR="00B0013D" w:rsidRPr="00932B02" w:rsidRDefault="00B0013D">
            <w:pPr>
              <w:spacing w:line="480" w:lineRule="auto"/>
              <w:rPr>
                <w:rFonts w:ascii="Arial" w:hAnsi="Arial" w:cs="Arial"/>
                <w:sz w:val="24"/>
                <w:szCs w:val="24"/>
              </w:rPr>
            </w:pPr>
            <w:r w:rsidRPr="00932B02">
              <w:rPr>
                <w:rFonts w:ascii="Arial" w:hAnsi="Arial" w:cs="Arial"/>
                <w:sz w:val="24"/>
                <w:szCs w:val="24"/>
              </w:rPr>
              <w:t xml:space="preserve"> </w:t>
            </w:r>
            <w:proofErr w:type="gramStart"/>
            <w:r w:rsidRPr="00932B02">
              <w:rPr>
                <w:rFonts w:ascii="Arial" w:hAnsi="Arial" w:cs="Arial"/>
                <w:sz w:val="24"/>
                <w:szCs w:val="24"/>
              </w:rPr>
              <w:t>fomento</w:t>
            </w:r>
            <w:proofErr w:type="gramEnd"/>
            <w:r w:rsidRPr="00932B02">
              <w:rPr>
                <w:rFonts w:ascii="Arial" w:hAnsi="Arial" w:cs="Arial"/>
                <w:sz w:val="24"/>
                <w:szCs w:val="24"/>
              </w:rPr>
              <w:t xml:space="preserve"> comercial</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10</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Serviços imobiliários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11</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4603F0" w:rsidRPr="00932B02" w:rsidRDefault="00B0013D">
            <w:pPr>
              <w:spacing w:line="480" w:lineRule="auto"/>
              <w:rPr>
                <w:rFonts w:ascii="Arial" w:hAnsi="Arial" w:cs="Arial"/>
                <w:sz w:val="24"/>
                <w:szCs w:val="24"/>
              </w:rPr>
            </w:pPr>
            <w:r w:rsidRPr="00932B02">
              <w:rPr>
                <w:rFonts w:ascii="Arial" w:hAnsi="Arial" w:cs="Arial"/>
                <w:sz w:val="24"/>
                <w:szCs w:val="24"/>
              </w:rPr>
              <w:t>Arrendamento mercantil operacional, propriedade intelectual,</w:t>
            </w:r>
          </w:p>
          <w:p w:rsidR="00B0013D" w:rsidRPr="00932B02" w:rsidRDefault="00B0013D">
            <w:pPr>
              <w:spacing w:line="480" w:lineRule="auto"/>
              <w:rPr>
                <w:rFonts w:ascii="Arial" w:hAnsi="Arial" w:cs="Arial"/>
                <w:sz w:val="24"/>
                <w:szCs w:val="24"/>
              </w:rPr>
            </w:pPr>
            <w:r w:rsidRPr="00932B02">
              <w:rPr>
                <w:rFonts w:ascii="Arial" w:hAnsi="Arial" w:cs="Arial"/>
                <w:sz w:val="24"/>
                <w:szCs w:val="24"/>
              </w:rPr>
              <w:t xml:space="preserve"> </w:t>
            </w:r>
            <w:proofErr w:type="gramStart"/>
            <w:r w:rsidRPr="00932B02">
              <w:rPr>
                <w:rFonts w:ascii="Arial" w:hAnsi="Arial" w:cs="Arial"/>
                <w:sz w:val="24"/>
                <w:szCs w:val="24"/>
              </w:rPr>
              <w:t>franquias</w:t>
            </w:r>
            <w:proofErr w:type="gramEnd"/>
            <w:r w:rsidRPr="00932B02">
              <w:rPr>
                <w:rFonts w:ascii="Arial" w:hAnsi="Arial" w:cs="Arial"/>
                <w:sz w:val="24"/>
                <w:szCs w:val="24"/>
              </w:rPr>
              <w:t xml:space="preserve"> empresariais e exploração de outros direitos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12</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Serviços de pesquisa e desenvolvimento</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13</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Serviços jurídicos e contábeis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14</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Outros serviços profissionais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15</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Serviços de tecnologia da informação</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16</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Serviços de telecomunicação, difusão e fornecimento de informações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17</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Serviços de apoio às atividades empresariais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18</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4603F0" w:rsidRPr="00932B02" w:rsidRDefault="00B0013D">
            <w:pPr>
              <w:spacing w:line="480" w:lineRule="auto"/>
              <w:rPr>
                <w:rFonts w:ascii="Arial" w:hAnsi="Arial" w:cs="Arial"/>
                <w:sz w:val="24"/>
                <w:szCs w:val="24"/>
              </w:rPr>
            </w:pPr>
            <w:r w:rsidRPr="00932B02">
              <w:rPr>
                <w:rFonts w:ascii="Arial" w:hAnsi="Arial" w:cs="Arial"/>
                <w:sz w:val="24"/>
                <w:szCs w:val="24"/>
              </w:rPr>
              <w:t>Serviços de apoio às atividades agropecuárias, silvicultura, pesca, aquicultura,</w:t>
            </w:r>
          </w:p>
          <w:p w:rsidR="00B0013D" w:rsidRPr="00932B02" w:rsidRDefault="00B0013D">
            <w:pPr>
              <w:spacing w:line="480" w:lineRule="auto"/>
              <w:rPr>
                <w:rFonts w:ascii="Arial" w:hAnsi="Arial" w:cs="Arial"/>
                <w:sz w:val="24"/>
                <w:szCs w:val="24"/>
              </w:rPr>
            </w:pPr>
            <w:r w:rsidRPr="00932B02">
              <w:rPr>
                <w:rFonts w:ascii="Arial" w:hAnsi="Arial" w:cs="Arial"/>
                <w:sz w:val="24"/>
                <w:szCs w:val="24"/>
              </w:rPr>
              <w:t xml:space="preserve"> </w:t>
            </w:r>
            <w:proofErr w:type="gramStart"/>
            <w:r w:rsidRPr="00932B02">
              <w:rPr>
                <w:rFonts w:ascii="Arial" w:hAnsi="Arial" w:cs="Arial"/>
                <w:sz w:val="24"/>
                <w:szCs w:val="24"/>
              </w:rPr>
              <w:t>extração</w:t>
            </w:r>
            <w:proofErr w:type="gramEnd"/>
            <w:r w:rsidRPr="00932B02">
              <w:rPr>
                <w:rFonts w:ascii="Arial" w:hAnsi="Arial" w:cs="Arial"/>
                <w:sz w:val="24"/>
                <w:szCs w:val="24"/>
              </w:rPr>
              <w:t xml:space="preserve"> mineral, eletricidade, gás e água</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19</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Serviços de manutenção, reparação e instalação (exceto construção)</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20</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Serviços de publicação, impressão e reprodução</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21</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Serviços educacionais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lastRenderedPageBreak/>
              <w:t>S 22</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Serviços relacionados à saúde humana e de assistência social</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23</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4603F0" w:rsidRPr="00932B02" w:rsidRDefault="00B0013D">
            <w:pPr>
              <w:spacing w:line="480" w:lineRule="auto"/>
              <w:rPr>
                <w:rFonts w:ascii="Arial" w:hAnsi="Arial" w:cs="Arial"/>
                <w:sz w:val="24"/>
                <w:szCs w:val="24"/>
              </w:rPr>
            </w:pPr>
            <w:r w:rsidRPr="00932B02">
              <w:rPr>
                <w:rFonts w:ascii="Arial" w:hAnsi="Arial" w:cs="Arial"/>
                <w:sz w:val="24"/>
                <w:szCs w:val="24"/>
              </w:rPr>
              <w:t>Serviços de tratamento, eliminação e coleta de resíduos sólidos,</w:t>
            </w:r>
          </w:p>
          <w:p w:rsidR="00B0013D" w:rsidRPr="00932B02" w:rsidRDefault="00B0013D">
            <w:pPr>
              <w:spacing w:line="480" w:lineRule="auto"/>
              <w:rPr>
                <w:rFonts w:ascii="Arial" w:hAnsi="Arial" w:cs="Arial"/>
                <w:sz w:val="24"/>
                <w:szCs w:val="24"/>
              </w:rPr>
            </w:pPr>
            <w:r w:rsidRPr="00932B02">
              <w:rPr>
                <w:rFonts w:ascii="Arial" w:hAnsi="Arial" w:cs="Arial"/>
                <w:sz w:val="24"/>
                <w:szCs w:val="24"/>
              </w:rPr>
              <w:t xml:space="preserve"> </w:t>
            </w:r>
            <w:proofErr w:type="gramStart"/>
            <w:r w:rsidRPr="00932B02">
              <w:rPr>
                <w:rFonts w:ascii="Arial" w:hAnsi="Arial" w:cs="Arial"/>
                <w:sz w:val="24"/>
                <w:szCs w:val="24"/>
              </w:rPr>
              <w:t>saneamento</w:t>
            </w:r>
            <w:proofErr w:type="gramEnd"/>
            <w:r w:rsidRPr="00932B02">
              <w:rPr>
                <w:rFonts w:ascii="Arial" w:hAnsi="Arial" w:cs="Arial"/>
                <w:sz w:val="24"/>
                <w:szCs w:val="24"/>
              </w:rPr>
              <w:t>, remediação e serviços ambientais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24</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Serviços recreativos, culturais e desportivos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25</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Serviços pessoais</w:t>
            </w:r>
          </w:p>
        </w:tc>
      </w:tr>
      <w:tr w:rsidR="00F67C8F" w:rsidRPr="00932B02" w:rsidTr="00B0013D">
        <w:tc>
          <w:tcPr>
            <w:tcW w:w="10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S 26</w:t>
            </w:r>
          </w:p>
        </w:tc>
        <w:tc>
          <w:tcPr>
            <w:tcW w:w="3950" w:type="pct"/>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vAlign w:val="center"/>
            <w:hideMark/>
          </w:tcPr>
          <w:p w:rsidR="00B0013D" w:rsidRPr="00932B02" w:rsidRDefault="00B0013D">
            <w:pPr>
              <w:spacing w:line="480" w:lineRule="auto"/>
              <w:rPr>
                <w:rFonts w:ascii="Arial" w:hAnsi="Arial" w:cs="Arial"/>
                <w:sz w:val="24"/>
                <w:szCs w:val="24"/>
              </w:rPr>
            </w:pPr>
            <w:r w:rsidRPr="00932B02">
              <w:rPr>
                <w:rFonts w:ascii="Arial" w:hAnsi="Arial" w:cs="Arial"/>
                <w:sz w:val="24"/>
                <w:szCs w:val="24"/>
              </w:rPr>
              <w:t>Cessão de direitos de propriedade intelectual</w:t>
            </w:r>
          </w:p>
        </w:tc>
      </w:tr>
    </w:tbl>
    <w:p w:rsidR="00497590" w:rsidRPr="00932B02" w:rsidRDefault="00497590" w:rsidP="00B0013D">
      <w:pPr>
        <w:pStyle w:val="Ttulo3"/>
        <w:shd w:val="clear" w:color="auto" w:fill="FFFFFF"/>
        <w:spacing w:before="300" w:after="300" w:line="390" w:lineRule="atLeast"/>
        <w:rPr>
          <w:rFonts w:ascii="Arial" w:hAnsi="Arial" w:cs="Arial"/>
          <w:color w:val="auto"/>
        </w:rPr>
      </w:pPr>
    </w:p>
    <w:sectPr w:rsidR="00497590" w:rsidRPr="00932B02" w:rsidSect="00E8117B">
      <w:pgSz w:w="11906" w:h="16838"/>
      <w:pgMar w:top="1417" w:right="42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C5DAC"/>
    <w:multiLevelType w:val="multilevel"/>
    <w:tmpl w:val="AC801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4B734C"/>
    <w:multiLevelType w:val="multilevel"/>
    <w:tmpl w:val="16041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786555A"/>
    <w:multiLevelType w:val="hybridMultilevel"/>
    <w:tmpl w:val="92822C1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590"/>
    <w:rsid w:val="00436BF3"/>
    <w:rsid w:val="004603F0"/>
    <w:rsid w:val="00497590"/>
    <w:rsid w:val="00530456"/>
    <w:rsid w:val="00932B02"/>
    <w:rsid w:val="00B0013D"/>
    <w:rsid w:val="00D007CC"/>
    <w:rsid w:val="00E8117B"/>
    <w:rsid w:val="00F67C8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848A81-F203-436C-A790-20463E001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9"/>
    <w:qFormat/>
    <w:rsid w:val="0049759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next w:val="Normal"/>
    <w:link w:val="Ttulo2Char"/>
    <w:uiPriority w:val="9"/>
    <w:semiHidden/>
    <w:unhideWhenUsed/>
    <w:qFormat/>
    <w:rsid w:val="00B0013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unhideWhenUsed/>
    <w:qFormat/>
    <w:rsid w:val="00B0013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97590"/>
    <w:rPr>
      <w:rFonts w:ascii="Times New Roman" w:eastAsia="Times New Roman" w:hAnsi="Times New Roman" w:cs="Times New Roman"/>
      <w:b/>
      <w:bCs/>
      <w:kern w:val="36"/>
      <w:sz w:val="48"/>
      <w:szCs w:val="48"/>
      <w:lang w:eastAsia="pt-BR"/>
    </w:rPr>
  </w:style>
  <w:style w:type="character" w:styleId="Forte">
    <w:name w:val="Strong"/>
    <w:basedOn w:val="Fontepargpadro"/>
    <w:uiPriority w:val="22"/>
    <w:qFormat/>
    <w:rsid w:val="00497590"/>
    <w:rPr>
      <w:b/>
      <w:bCs/>
    </w:rPr>
  </w:style>
  <w:style w:type="paragraph" w:styleId="NormalWeb">
    <w:name w:val="Normal (Web)"/>
    <w:basedOn w:val="Normal"/>
    <w:uiPriority w:val="99"/>
    <w:semiHidden/>
    <w:unhideWhenUsed/>
    <w:rsid w:val="0049759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497590"/>
    <w:rPr>
      <w:color w:val="0000FF"/>
      <w:u w:val="single"/>
    </w:rPr>
  </w:style>
  <w:style w:type="character" w:customStyle="1" w:styleId="Ttulo2Char">
    <w:name w:val="Título 2 Char"/>
    <w:basedOn w:val="Fontepargpadro"/>
    <w:link w:val="Ttulo2"/>
    <w:uiPriority w:val="9"/>
    <w:semiHidden/>
    <w:rsid w:val="00B0013D"/>
    <w:rPr>
      <w:rFonts w:asciiTheme="majorHAnsi" w:eastAsiaTheme="majorEastAsia" w:hAnsiTheme="majorHAnsi" w:cstheme="majorBidi"/>
      <w:color w:val="2E74B5" w:themeColor="accent1" w:themeShade="BF"/>
      <w:sz w:val="26"/>
      <w:szCs w:val="26"/>
    </w:rPr>
  </w:style>
  <w:style w:type="character" w:customStyle="1" w:styleId="Ttulo3Char">
    <w:name w:val="Título 3 Char"/>
    <w:basedOn w:val="Fontepargpadro"/>
    <w:link w:val="Ttulo3"/>
    <w:uiPriority w:val="9"/>
    <w:rsid w:val="00B0013D"/>
    <w:rPr>
      <w:rFonts w:asciiTheme="majorHAnsi" w:eastAsiaTheme="majorEastAsia" w:hAnsiTheme="majorHAnsi" w:cstheme="majorBidi"/>
      <w:color w:val="1F4D78" w:themeColor="accent1" w:themeShade="7F"/>
      <w:sz w:val="24"/>
      <w:szCs w:val="24"/>
    </w:rPr>
  </w:style>
  <w:style w:type="character" w:styleId="CitaoHTML">
    <w:name w:val="HTML Cite"/>
    <w:basedOn w:val="Fontepargpadro"/>
    <w:uiPriority w:val="99"/>
    <w:semiHidden/>
    <w:unhideWhenUsed/>
    <w:rsid w:val="00B001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41115">
      <w:bodyDiv w:val="1"/>
      <w:marLeft w:val="0"/>
      <w:marRight w:val="0"/>
      <w:marTop w:val="0"/>
      <w:marBottom w:val="0"/>
      <w:divBdr>
        <w:top w:val="none" w:sz="0" w:space="0" w:color="auto"/>
        <w:left w:val="none" w:sz="0" w:space="0" w:color="auto"/>
        <w:bottom w:val="none" w:sz="0" w:space="0" w:color="auto"/>
        <w:right w:val="none" w:sz="0" w:space="0" w:color="auto"/>
      </w:divBdr>
      <w:divsChild>
        <w:div w:id="133913887">
          <w:blockQuote w:val="1"/>
          <w:marLeft w:val="0"/>
          <w:marRight w:val="0"/>
          <w:marTop w:val="300"/>
          <w:marBottom w:val="300"/>
          <w:divBdr>
            <w:top w:val="none" w:sz="0" w:space="0" w:color="auto"/>
            <w:left w:val="single" w:sz="18" w:space="11" w:color="03C4EB"/>
            <w:bottom w:val="none" w:sz="0" w:space="0" w:color="auto"/>
            <w:right w:val="none" w:sz="0" w:space="0" w:color="auto"/>
          </w:divBdr>
        </w:div>
      </w:divsChild>
    </w:div>
    <w:div w:id="693573221">
      <w:bodyDiv w:val="1"/>
      <w:marLeft w:val="0"/>
      <w:marRight w:val="0"/>
      <w:marTop w:val="0"/>
      <w:marBottom w:val="0"/>
      <w:divBdr>
        <w:top w:val="none" w:sz="0" w:space="0" w:color="auto"/>
        <w:left w:val="none" w:sz="0" w:space="0" w:color="auto"/>
        <w:bottom w:val="none" w:sz="0" w:space="0" w:color="auto"/>
        <w:right w:val="none" w:sz="0" w:space="0" w:color="auto"/>
      </w:divBdr>
    </w:div>
    <w:div w:id="814419003">
      <w:bodyDiv w:val="1"/>
      <w:marLeft w:val="0"/>
      <w:marRight w:val="0"/>
      <w:marTop w:val="0"/>
      <w:marBottom w:val="0"/>
      <w:divBdr>
        <w:top w:val="none" w:sz="0" w:space="0" w:color="auto"/>
        <w:left w:val="none" w:sz="0" w:space="0" w:color="auto"/>
        <w:bottom w:val="none" w:sz="0" w:space="0" w:color="auto"/>
        <w:right w:val="none" w:sz="0" w:space="0" w:color="auto"/>
      </w:divBdr>
    </w:div>
    <w:div w:id="1586381910">
      <w:bodyDiv w:val="1"/>
      <w:marLeft w:val="0"/>
      <w:marRight w:val="0"/>
      <w:marTop w:val="0"/>
      <w:marBottom w:val="0"/>
      <w:divBdr>
        <w:top w:val="none" w:sz="0" w:space="0" w:color="auto"/>
        <w:left w:val="none" w:sz="0" w:space="0" w:color="auto"/>
        <w:bottom w:val="none" w:sz="0" w:space="0" w:color="auto"/>
        <w:right w:val="none" w:sz="0" w:space="0" w:color="auto"/>
      </w:divBdr>
      <w:divsChild>
        <w:div w:id="196285044">
          <w:marLeft w:val="0"/>
          <w:marRight w:val="0"/>
          <w:marTop w:val="0"/>
          <w:marBottom w:val="450"/>
          <w:divBdr>
            <w:top w:val="none" w:sz="0" w:space="0" w:color="auto"/>
            <w:left w:val="none" w:sz="0" w:space="0" w:color="auto"/>
            <w:bottom w:val="none" w:sz="0" w:space="0" w:color="auto"/>
            <w:right w:val="none" w:sz="0" w:space="0" w:color="auto"/>
          </w:divBdr>
          <w:divsChild>
            <w:div w:id="2069720367">
              <w:blockQuote w:val="1"/>
              <w:marLeft w:val="0"/>
              <w:marRight w:val="0"/>
              <w:marTop w:val="300"/>
              <w:marBottom w:val="300"/>
              <w:divBdr>
                <w:top w:val="none" w:sz="0" w:space="0" w:color="auto"/>
                <w:left w:val="single" w:sz="18" w:space="11" w:color="03C4EB"/>
                <w:bottom w:val="none" w:sz="0" w:space="0" w:color="auto"/>
                <w:right w:val="none" w:sz="0" w:space="0" w:color="auto"/>
              </w:divBdr>
            </w:div>
          </w:divsChild>
        </w:div>
        <w:div w:id="1082992128">
          <w:marLeft w:val="0"/>
          <w:marRight w:val="0"/>
          <w:marTop w:val="0"/>
          <w:marBottom w:val="0"/>
          <w:divBdr>
            <w:top w:val="single" w:sz="6" w:space="23" w:color="E9E9E9"/>
            <w:left w:val="none" w:sz="0" w:space="0" w:color="auto"/>
            <w:bottom w:val="none" w:sz="0" w:space="0" w:color="auto"/>
            <w:right w:val="none" w:sz="0" w:space="0" w:color="auto"/>
          </w:divBdr>
          <w:divsChild>
            <w:div w:id="22865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66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v.receita.fazenda.gov.br/ecac/" TargetMode="Externa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av.receita.fazenda.gov.br/autenticacao/login/index" TargetMode="External"/><Relationship Id="rId12" Type="http://schemas.openxmlformats.org/officeDocument/2006/relationships/hyperlink" Target="http://abacusliquid.com/wp-content/uploads/2018/02/dme-declarante.jpg" TargetMode="External"/><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hyperlink" Target="http://abacusliquid.com/wp-content/uploads/2018/02/dme-declaracao-original.jpg" TargetMode="External"/><Relationship Id="rId1" Type="http://schemas.openxmlformats.org/officeDocument/2006/relationships/numbering" Target="numbering.xml"/><Relationship Id="rId6" Type="http://schemas.openxmlformats.org/officeDocument/2006/relationships/hyperlink" Target="http://idg.receita.fazenda.gov.br/orientacao/tributaria/declaracoes-e-demonstrativos/dme-declaracao-de-operacoes-liquidadas-com-moeda-em-especie/manual-dme.pdf" TargetMode="External"/><Relationship Id="rId11" Type="http://schemas.openxmlformats.org/officeDocument/2006/relationships/image" Target="media/image1.jpeg"/><Relationship Id="rId5" Type="http://schemas.openxmlformats.org/officeDocument/2006/relationships/hyperlink" Target="http://normas.receita.fazenda.gov.br/sijut2consulta/link.action?visao=anotado&amp;idAto=88018" TargetMode="External"/><Relationship Id="rId15" Type="http://schemas.openxmlformats.org/officeDocument/2006/relationships/image" Target="media/image3.jpeg"/><Relationship Id="rId10" Type="http://schemas.openxmlformats.org/officeDocument/2006/relationships/hyperlink" Target="http://abacusliquid.com/wp-content/uploads/2018/02/dme-ecac.jp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abacusliquid.com/irpf/malha-fina/" TargetMode="External"/><Relationship Id="rId14" Type="http://schemas.openxmlformats.org/officeDocument/2006/relationships/hyperlink" Target="http://abacusliquid.com/wp-content/uploads/2018/02/dme-declarados.jpg"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3394</Words>
  <Characters>18330</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Acrísio Rocha</dc:creator>
  <cp:keywords/>
  <dc:description/>
  <cp:lastModifiedBy>João Acrísio Rocha</cp:lastModifiedBy>
  <cp:revision>2</cp:revision>
  <dcterms:created xsi:type="dcterms:W3CDTF">2018-06-11T20:30:00Z</dcterms:created>
  <dcterms:modified xsi:type="dcterms:W3CDTF">2018-06-11T20:30:00Z</dcterms:modified>
</cp:coreProperties>
</file>